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黑体" w:cs="Times New Roman"/>
          <w:b/>
          <w:bCs/>
          <w:color w:val="auto"/>
          <w:sz w:val="52"/>
          <w:szCs w:val="52"/>
          <w:highlight w:val="none"/>
          <w:lang w:val="en-US" w:eastAsia="zh-CN"/>
        </w:rPr>
      </w:pPr>
    </w:p>
    <w:p>
      <w:pPr>
        <w:jc w:val="center"/>
        <w:outlineLvl w:val="0"/>
        <w:rPr>
          <w:rFonts w:hint="default" w:ascii="Times New Roman" w:hAnsi="Times New Roman" w:eastAsia="黑体" w:cs="Times New Roman"/>
          <w:b/>
          <w:bCs/>
          <w:color w:val="auto"/>
          <w:sz w:val="52"/>
          <w:szCs w:val="52"/>
          <w:highlight w:val="none"/>
          <w:lang w:val="en-US" w:eastAsia="zh-CN"/>
        </w:rPr>
      </w:pPr>
    </w:p>
    <w:p>
      <w:pPr>
        <w:jc w:val="center"/>
        <w:outlineLvl w:val="0"/>
        <w:rPr>
          <w:rFonts w:hint="default" w:ascii="Times New Roman" w:hAnsi="Times New Roman" w:eastAsia="黑体" w:cs="Times New Roman"/>
          <w:b/>
          <w:bCs/>
          <w:color w:val="auto"/>
          <w:sz w:val="52"/>
          <w:szCs w:val="52"/>
          <w:highlight w:val="none"/>
          <w:lang w:val="en-US" w:eastAsia="zh-CN"/>
        </w:rPr>
      </w:pPr>
      <w:bookmarkStart w:id="0" w:name="_Toc18919"/>
      <w:bookmarkStart w:id="1" w:name="_Toc21564"/>
      <w:r>
        <w:rPr>
          <w:rFonts w:hint="eastAsia" w:ascii="Times New Roman" w:hAnsi="Times New Roman" w:eastAsia="黑体" w:cs="Times New Roman"/>
          <w:b/>
          <w:bCs/>
          <w:color w:val="auto"/>
          <w:sz w:val="52"/>
          <w:szCs w:val="52"/>
          <w:highlight w:val="none"/>
          <w:lang w:val="en-US" w:eastAsia="zh-CN"/>
        </w:rPr>
        <w:t>吐鲁番市</w:t>
      </w:r>
      <w:r>
        <w:rPr>
          <w:rFonts w:hint="default" w:ascii="Times New Roman" w:hAnsi="Times New Roman" w:eastAsia="黑体" w:cs="Times New Roman"/>
          <w:b/>
          <w:bCs/>
          <w:color w:val="auto"/>
          <w:sz w:val="52"/>
          <w:szCs w:val="52"/>
          <w:highlight w:val="none"/>
          <w:lang w:val="en-US" w:eastAsia="zh-CN"/>
        </w:rPr>
        <w:t>20</w:t>
      </w:r>
      <w:r>
        <w:rPr>
          <w:rFonts w:hint="eastAsia" w:ascii="Times New Roman" w:hAnsi="Times New Roman" w:eastAsia="黑体" w:cs="Times New Roman"/>
          <w:b/>
          <w:bCs/>
          <w:color w:val="auto"/>
          <w:sz w:val="52"/>
          <w:szCs w:val="52"/>
          <w:highlight w:val="none"/>
          <w:lang w:val="en-US" w:eastAsia="zh-CN"/>
        </w:rPr>
        <w:t>24</w:t>
      </w:r>
      <w:r>
        <w:rPr>
          <w:rFonts w:hint="default" w:ascii="Times New Roman" w:hAnsi="Times New Roman" w:eastAsia="黑体" w:cs="Times New Roman"/>
          <w:b/>
          <w:bCs/>
          <w:color w:val="auto"/>
          <w:sz w:val="52"/>
          <w:szCs w:val="52"/>
          <w:highlight w:val="none"/>
          <w:lang w:val="en-US" w:eastAsia="zh-CN"/>
        </w:rPr>
        <w:t>年度</w:t>
      </w:r>
      <w:bookmarkEnd w:id="0"/>
      <w:bookmarkEnd w:id="1"/>
    </w:p>
    <w:p>
      <w:pPr>
        <w:jc w:val="center"/>
        <w:outlineLvl w:val="0"/>
        <w:rPr>
          <w:rFonts w:hint="default" w:ascii="Times New Roman" w:hAnsi="Times New Roman" w:eastAsia="黑体" w:cs="Times New Roman"/>
          <w:b/>
          <w:bCs/>
          <w:color w:val="auto"/>
          <w:sz w:val="52"/>
          <w:szCs w:val="52"/>
          <w:highlight w:val="none"/>
          <w:lang w:val="en-US" w:eastAsia="zh-CN"/>
        </w:rPr>
      </w:pPr>
      <w:bookmarkStart w:id="2" w:name="_Toc3248"/>
      <w:bookmarkStart w:id="3" w:name="_Toc21340"/>
      <w:r>
        <w:rPr>
          <w:rFonts w:hint="default" w:ascii="Times New Roman" w:hAnsi="Times New Roman" w:eastAsia="黑体" w:cs="Times New Roman"/>
          <w:b/>
          <w:bCs/>
          <w:color w:val="auto"/>
          <w:sz w:val="52"/>
          <w:szCs w:val="52"/>
          <w:highlight w:val="none"/>
          <w:lang w:val="en-US" w:eastAsia="zh-CN"/>
        </w:rPr>
        <w:t>预算绩效评价报告</w:t>
      </w:r>
      <w:bookmarkEnd w:id="2"/>
      <w:bookmarkEnd w:id="3"/>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ind w:left="2238" w:leftChars="266" w:hanging="1600" w:hangingChars="5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项目名称：2024年中央专项彩票公益金支持地方社会公益事业发展（体育事业）资金项目</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项目单位：吐鲁番市文化体育</w:t>
      </w:r>
      <w:r>
        <w:rPr>
          <w:rFonts w:hint="eastAsia" w:ascii="Times New Roman" w:hAnsi="Times New Roman" w:eastAsia="黑体" w:cs="Times New Roman"/>
          <w:b w:val="0"/>
          <w:bCs w:val="0"/>
          <w:color w:val="auto"/>
          <w:sz w:val="32"/>
          <w:szCs w:val="32"/>
          <w:highlight w:val="none"/>
          <w:lang w:val="en-US" w:eastAsia="zh-CN"/>
        </w:rPr>
        <w:t>广播电视</w:t>
      </w:r>
      <w:r>
        <w:rPr>
          <w:rFonts w:hint="default" w:ascii="Times New Roman" w:hAnsi="Times New Roman" w:eastAsia="黑体" w:cs="Times New Roman"/>
          <w:b w:val="0"/>
          <w:bCs w:val="0"/>
          <w:color w:val="auto"/>
          <w:sz w:val="32"/>
          <w:szCs w:val="32"/>
          <w:highlight w:val="none"/>
          <w:lang w:val="en-US" w:eastAsia="zh-CN"/>
        </w:rPr>
        <w:t>和旅游局</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t>主管部门：</w:t>
      </w:r>
      <w:r>
        <w:rPr>
          <w:rFonts w:hint="default" w:ascii="Times New Roman" w:hAnsi="Times New Roman" w:eastAsia="黑体" w:cs="Times New Roman"/>
          <w:b w:val="0"/>
          <w:bCs w:val="0"/>
          <w:color w:val="auto"/>
          <w:sz w:val="32"/>
          <w:szCs w:val="32"/>
          <w:highlight w:val="none"/>
          <w:lang w:val="en-US" w:eastAsia="zh-CN"/>
        </w:rPr>
        <w:t>吐鲁番市文化体育</w:t>
      </w:r>
      <w:r>
        <w:rPr>
          <w:rFonts w:hint="eastAsia" w:ascii="Times New Roman" w:hAnsi="Times New Roman" w:eastAsia="黑体" w:cs="Times New Roman"/>
          <w:b w:val="0"/>
          <w:bCs w:val="0"/>
          <w:color w:val="auto"/>
          <w:sz w:val="32"/>
          <w:szCs w:val="32"/>
          <w:highlight w:val="none"/>
          <w:lang w:val="en-US" w:eastAsia="zh-CN"/>
        </w:rPr>
        <w:t>广播电视</w:t>
      </w:r>
      <w:r>
        <w:rPr>
          <w:rFonts w:hint="default" w:ascii="Times New Roman" w:hAnsi="Times New Roman" w:eastAsia="黑体" w:cs="Times New Roman"/>
          <w:b w:val="0"/>
          <w:bCs w:val="0"/>
          <w:color w:val="auto"/>
          <w:sz w:val="32"/>
          <w:szCs w:val="32"/>
          <w:highlight w:val="none"/>
          <w:lang w:val="en-US" w:eastAsia="zh-CN"/>
        </w:rPr>
        <w:t>和旅游局</w:t>
      </w:r>
    </w:p>
    <w:p>
      <w:pPr>
        <w:snapToGrid/>
        <w:spacing w:before="120" w:beforeAutospacing="0" w:after="120" w:afterAutospacing="0" w:line="360" w:lineRule="auto"/>
        <w:ind w:firstLine="640" w:firstLineChars="200"/>
        <w:jc w:val="left"/>
        <w:textAlignment w:val="baseline"/>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pPr>
      <w:r>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t>委托单位：</w:t>
      </w:r>
      <w:r>
        <w:rPr>
          <w:rStyle w:val="14"/>
          <w:rFonts w:hint="eastAsia" w:ascii="Times New Roman" w:hAnsi="Times New Roman" w:eastAsia="黑体" w:cs="Times New Roman"/>
          <w:b w:val="0"/>
          <w:i w:val="0"/>
          <w:caps w:val="0"/>
          <w:color w:val="auto"/>
          <w:spacing w:val="0"/>
          <w:w w:val="100"/>
          <w:kern w:val="0"/>
          <w:sz w:val="32"/>
          <w:szCs w:val="32"/>
          <w:highlight w:val="none"/>
          <w:lang w:val="en-US" w:eastAsia="zh-CN" w:bidi="en-US"/>
        </w:rPr>
        <w:t>吐鲁番市财政局</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评价机构：</w:t>
      </w:r>
      <w:r>
        <w:rPr>
          <w:rFonts w:hint="eastAsia" w:ascii="Times New Roman" w:hAnsi="Times New Roman" w:eastAsia="黑体" w:cs="Times New Roman"/>
          <w:b w:val="0"/>
          <w:bCs w:val="0"/>
          <w:color w:val="auto"/>
          <w:sz w:val="32"/>
          <w:szCs w:val="32"/>
          <w:highlight w:val="none"/>
          <w:lang w:val="en-US" w:eastAsia="zh-CN"/>
        </w:rPr>
        <w:t>新疆财讯睿智信息咨询有限公司</w:t>
      </w:r>
    </w:p>
    <w:p>
      <w:pPr>
        <w:jc w:val="center"/>
        <w:rPr>
          <w:rFonts w:hint="default" w:ascii="Times New Roman" w:hAnsi="Times New Roman" w:eastAsia="黑体" w:cs="Times New Roman"/>
          <w:b w:val="0"/>
          <w:bCs w:val="0"/>
          <w:color w:val="auto"/>
          <w:sz w:val="32"/>
          <w:szCs w:val="32"/>
          <w:highlight w:val="non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imes New Roman" w:hAnsi="Times New Roman" w:eastAsia="黑体" w:cs="Times New Roman"/>
          <w:b w:val="0"/>
          <w:bCs w:val="0"/>
          <w:color w:val="auto"/>
          <w:sz w:val="32"/>
          <w:szCs w:val="32"/>
          <w:highlight w:val="none"/>
          <w:lang w:val="en-US" w:eastAsia="zh-CN"/>
        </w:rPr>
        <w:t>2025</w:t>
      </w:r>
      <w:r>
        <w:rPr>
          <w:rFonts w:hint="default" w:ascii="Times New Roman" w:hAnsi="Times New Roman" w:eastAsia="黑体" w:cs="Times New Roman"/>
          <w:b w:val="0"/>
          <w:bCs w:val="0"/>
          <w:color w:val="auto"/>
          <w:sz w:val="32"/>
          <w:szCs w:val="32"/>
          <w:highlight w:val="none"/>
          <w:lang w:val="en-US" w:eastAsia="zh-CN"/>
        </w:rPr>
        <w:t>年</w:t>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eastAsia="zh-CN"/>
        </w:rPr>
        <w:t>月</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firstLine="640" w:firstLineChars="200"/>
        <w:textAlignment w:val="auto"/>
        <w:outlineLvl w:val="0"/>
        <w:rPr>
          <w:rFonts w:hint="default" w:ascii="Times New Roman" w:hAnsi="Times New Roman" w:eastAsia="黑体" w:cs="Times New Roman"/>
          <w:b w:val="0"/>
          <w:bCs w:val="0"/>
          <w:color w:val="auto"/>
          <w:kern w:val="0"/>
          <w:sz w:val="32"/>
          <w:szCs w:val="32"/>
          <w:highlight w:val="none"/>
          <w:lang w:val="en-US" w:eastAsia="zh-CN" w:bidi="en-US"/>
        </w:rPr>
      </w:pPr>
      <w:bookmarkStart w:id="4" w:name="_Toc31480"/>
      <w:bookmarkStart w:id="5" w:name="_Toc21206"/>
      <w:r>
        <w:rPr>
          <w:rFonts w:hint="default" w:ascii="Times New Roman" w:hAnsi="Times New Roman" w:eastAsia="黑体" w:cs="Times New Roman"/>
          <w:b w:val="0"/>
          <w:bCs w:val="0"/>
          <w:color w:val="auto"/>
          <w:kern w:val="0"/>
          <w:sz w:val="32"/>
          <w:szCs w:val="32"/>
          <w:highlight w:val="none"/>
          <w:lang w:bidi="en-US"/>
        </w:rPr>
        <w:t>项目</w:t>
      </w:r>
      <w:r>
        <w:rPr>
          <w:rFonts w:hint="default" w:ascii="Times New Roman" w:hAnsi="Times New Roman" w:eastAsia="黑体" w:cs="Times New Roman"/>
          <w:b w:val="0"/>
          <w:bCs w:val="0"/>
          <w:color w:val="auto"/>
          <w:kern w:val="0"/>
          <w:sz w:val="32"/>
          <w:szCs w:val="32"/>
          <w:highlight w:val="none"/>
          <w:lang w:val="en-US" w:eastAsia="zh-CN" w:bidi="en-US"/>
        </w:rPr>
        <w:t>概述</w:t>
      </w:r>
      <w:bookmarkEnd w:id="4"/>
      <w:bookmarkEnd w:id="5"/>
    </w:p>
    <w:p>
      <w:pPr>
        <w:pStyle w:val="2"/>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项目概述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64" w:firstLineChars="200"/>
        <w:jc w:val="both"/>
        <w:textAlignment w:val="auto"/>
        <w:rPr>
          <w:rFonts w:hint="eastAsia" w:ascii="Times New Roman" w:hAnsi="Times New Roman" w:eastAsia="仿宋_GB2312" w:cs="Times New Roman"/>
          <w:color w:val="auto"/>
          <w:spacing w:val="6"/>
          <w:kern w:val="0"/>
          <w:sz w:val="32"/>
          <w:szCs w:val="32"/>
          <w:highlight w:val="none"/>
          <w:lang w:val="en-US" w:eastAsia="zh-CN" w:bidi="ar"/>
        </w:rPr>
      </w:pPr>
      <w:r>
        <w:rPr>
          <w:rFonts w:hint="eastAsia" w:ascii="Times New Roman" w:hAnsi="Times New Roman" w:eastAsia="仿宋_GB2312" w:cs="Times New Roman"/>
          <w:color w:val="auto"/>
          <w:spacing w:val="6"/>
          <w:kern w:val="0"/>
          <w:sz w:val="32"/>
          <w:szCs w:val="32"/>
          <w:highlight w:val="none"/>
          <w:lang w:val="en-US" w:eastAsia="zh-CN" w:bidi="ar"/>
        </w:rPr>
        <w:t>体育是社会发展与人类文明进步的一个重要标志，体育事业发展水平是一个国家或一个地区综合实力与社会文明程度的重要表现。随着科学技术的进步和社会经济发展，体育在社会生活中的地位、作用更加显著，大力发展体育运动，不仅可以增强人们的身体素质，还有助于培养人们的竞争意识、协作精神和公平观念，促进人的全面发展。同时，高水平的竞技体育能丰富人们的文化生活，有利于培养集体主义、爱国主义精神，增强向心力和凝聚力。通过体育活动，不断扩大人们的情感交流，增进了解与友谊，促进健康、文明生活方式的建立，创造文明、和谐的社会环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64" w:firstLineChars="200"/>
        <w:jc w:val="both"/>
        <w:textAlignment w:val="auto"/>
        <w:rPr>
          <w:rFonts w:hint="eastAsia" w:ascii="Times New Roman" w:hAnsi="Times New Roman" w:eastAsia="仿宋_GB2312" w:cs="Times New Roman"/>
          <w:color w:val="auto"/>
          <w:spacing w:val="6"/>
          <w:kern w:val="0"/>
          <w:sz w:val="32"/>
          <w:szCs w:val="32"/>
          <w:highlight w:val="none"/>
          <w:lang w:val="en-US" w:eastAsia="zh-CN" w:bidi="ar"/>
        </w:rPr>
      </w:pPr>
      <w:r>
        <w:rPr>
          <w:rFonts w:hint="eastAsia" w:ascii="Times New Roman" w:hAnsi="Times New Roman" w:eastAsia="仿宋_GB2312" w:cs="Times New Roman"/>
          <w:color w:val="auto"/>
          <w:spacing w:val="6"/>
          <w:kern w:val="0"/>
          <w:sz w:val="32"/>
          <w:szCs w:val="32"/>
          <w:highlight w:val="none"/>
          <w:lang w:val="en-US" w:eastAsia="zh-CN" w:bidi="ar"/>
        </w:rPr>
        <w:t>项目建设是各项竞技体育的训练基地和比赛场地，是全民健身和社会交往的场所，是体育产业的重要载体，也是一个城市、一个地区现代化建设成就的重要标志。体育场地的数量和质量，直接关系着体育活动的长度和深度，关系着人民的健康水平和生活质量，是衡量体育事业和社会经济发展的重要标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64" w:firstLineChars="200"/>
        <w:jc w:val="both"/>
        <w:textAlignment w:val="auto"/>
        <w:rPr>
          <w:rFonts w:hint="eastAsia" w:ascii="Times New Roman" w:hAnsi="Times New Roman" w:eastAsia="仿宋_GB2312" w:cs="Times New Roman"/>
          <w:color w:val="auto"/>
          <w:spacing w:val="6"/>
          <w:kern w:val="0"/>
          <w:sz w:val="32"/>
          <w:szCs w:val="32"/>
          <w:highlight w:val="none"/>
          <w:lang w:val="en-US" w:eastAsia="zh-CN" w:bidi="ar"/>
        </w:rPr>
      </w:pPr>
      <w:r>
        <w:rPr>
          <w:rFonts w:hint="eastAsia" w:ascii="Times New Roman" w:hAnsi="Times New Roman" w:eastAsia="仿宋_GB2312" w:cs="Times New Roman"/>
          <w:color w:val="auto"/>
          <w:spacing w:val="6"/>
          <w:kern w:val="0"/>
          <w:sz w:val="32"/>
          <w:szCs w:val="32"/>
          <w:highlight w:val="none"/>
          <w:lang w:val="en-US" w:eastAsia="zh-CN" w:bidi="ar"/>
        </w:rPr>
        <w:t>新疆体育历史文化底蕴厚重，拥有摔跤、拳击、沙滩排球、田径、马术、射箭等传统优势项目，且拥有丰富冰雪资源，新疆体育事业发展大有可为。党的十八大以来，在以习近平同志为核心的党中央坚强领导下，新疆大力实施体育强国、健康中国战略，体育事业进入蓬勃发展的快车道。同时，新疆维吾尔自治区人民政府主导、多部门协同的体教融合、体卫融合、体旅融合格局已初步形成。如今，体育在满足人民群众对美好生活向往、促进人的全面发展方面，发挥越来越重要的作用。近年来，新疆吐鲁番市政府始终围绕办人民满意的体育，深入贯彻落实全民健身国家战略，进一步健全完善体育设施、提升公共体育服务能力、发展壮大体育产业，积极开展更多常态化、有特色的群众体育活动，促进自然资源和体育事业、体育产业协调发展，把项目区打造成为充满朝气和活力的运动之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64" w:firstLineChars="200"/>
        <w:jc w:val="both"/>
        <w:textAlignment w:val="auto"/>
        <w:rPr>
          <w:rFonts w:hint="eastAsia" w:ascii="Times New Roman" w:hAnsi="Times New Roman" w:eastAsia="仿宋_GB2312" w:cs="Times New Roman"/>
          <w:color w:val="auto"/>
          <w:spacing w:val="6"/>
          <w:kern w:val="0"/>
          <w:sz w:val="32"/>
          <w:szCs w:val="32"/>
          <w:highlight w:val="none"/>
          <w:lang w:val="en-US" w:eastAsia="zh-CN" w:bidi="ar"/>
        </w:rPr>
      </w:pPr>
      <w:r>
        <w:rPr>
          <w:rFonts w:hint="eastAsia" w:ascii="Times New Roman" w:hAnsi="Times New Roman" w:eastAsia="仿宋_GB2312" w:cs="Times New Roman"/>
          <w:color w:val="auto"/>
          <w:spacing w:val="6"/>
          <w:kern w:val="0"/>
          <w:sz w:val="32"/>
          <w:szCs w:val="32"/>
          <w:highlight w:val="none"/>
          <w:lang w:val="en-US" w:eastAsia="zh-CN" w:bidi="ar"/>
        </w:rPr>
        <w:t>体育产业是黄金产业、绿色产业、健康产业。在吐鲁番市，全民运动从孩子抓起的意识已形成共识，从爱运动、懂运动到专业运动，为挖掘“体育苗子”、培育体育英才建立了优质可持续的储备资源，也让“人才强吐”建设更加行稳致远。吐鲁番市作为一个人口结构年轻化的县城，有着强烈的体育活动需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64" w:firstLineChars="200"/>
        <w:jc w:val="both"/>
        <w:textAlignment w:val="auto"/>
        <w:rPr>
          <w:rFonts w:hint="eastAsia" w:ascii="Times New Roman" w:hAnsi="Times New Roman" w:eastAsia="仿宋_GB2312" w:cs="Times New Roman"/>
          <w:color w:val="auto"/>
          <w:spacing w:val="6"/>
          <w:kern w:val="0"/>
          <w:sz w:val="32"/>
          <w:szCs w:val="32"/>
          <w:highlight w:val="none"/>
          <w:lang w:val="en-US" w:eastAsia="zh-CN" w:bidi="ar"/>
        </w:rPr>
      </w:pPr>
      <w:r>
        <w:rPr>
          <w:rFonts w:hint="eastAsia" w:ascii="Times New Roman" w:hAnsi="Times New Roman" w:eastAsia="仿宋_GB2312" w:cs="Times New Roman"/>
          <w:color w:val="auto"/>
          <w:spacing w:val="6"/>
          <w:kern w:val="0"/>
          <w:sz w:val="32"/>
          <w:szCs w:val="32"/>
          <w:highlight w:val="none"/>
          <w:lang w:val="en-US" w:eastAsia="zh-CN" w:bidi="ar"/>
        </w:rPr>
        <w:t>根据第七次人口普查数据吐鲁番市常住人口为69.34万，超50%的居民年龄在35岁以下，这部分人群对体育活动有着较高的参与热情。然而，现有的体育设施无法满足日益增长的需求，尤其是在篮球、足球等受欢迎的体育项目上。</w:t>
      </w:r>
    </w:p>
    <w:p>
      <w:pPr>
        <w:spacing w:line="560" w:lineRule="exact"/>
        <w:ind w:firstLine="664" w:firstLineChars="200"/>
        <w:rPr>
          <w:rFonts w:ascii="Times New Roman" w:hAnsi="Times New Roman"/>
        </w:rPr>
      </w:pPr>
      <w:r>
        <w:rPr>
          <w:rFonts w:hint="eastAsia" w:ascii="Times New Roman" w:hAnsi="Times New Roman" w:eastAsia="仿宋_GB2312" w:cs="Times New Roman"/>
          <w:color w:val="auto"/>
          <w:spacing w:val="6"/>
          <w:kern w:val="0"/>
          <w:sz w:val="32"/>
          <w:szCs w:val="32"/>
          <w:highlight w:val="none"/>
          <w:lang w:val="en-US" w:eastAsia="zh-CN" w:bidi="ar"/>
        </w:rPr>
        <w:t>项目的建设有利于吐鲁番市培育一片适合体育人才的土壤，为有志于体育运动的人才搭建舞台，为有志于体育事业的人才提供机会，通过“以才促体、以体兴旅、体旅融合”，为全域旅游贡献“体育力量”，为展示团结和谐、繁荣富裕、文明进步、安居乐业、生态良好的新时代中国特色社会主义新疆作出体育贡献。</w:t>
      </w:r>
    </w:p>
    <w:p>
      <w:pPr>
        <w:spacing w:line="560" w:lineRule="exact"/>
        <w:ind w:firstLine="664" w:firstLineChars="200"/>
        <w:jc w:val="both"/>
        <w:rPr>
          <w:rFonts w:hint="eastAsia" w:ascii="Times New Roman" w:hAnsi="Times New Roman" w:eastAsia="仿宋_GB2312"/>
          <w:b w:val="0"/>
          <w:bCs w:val="0"/>
          <w:color w:val="auto"/>
          <w:spacing w:val="6"/>
          <w:kern w:val="0"/>
          <w:sz w:val="32"/>
          <w:szCs w:val="32"/>
          <w:highlight w:val="none"/>
          <w:lang w:val="en-US" w:eastAsia="zh-CN"/>
        </w:rPr>
      </w:pPr>
      <w:r>
        <w:rPr>
          <w:rFonts w:hint="eastAsia" w:ascii="Times New Roman" w:hAnsi="Times New Roman" w:eastAsia="仿宋_GB2312"/>
          <w:b w:val="0"/>
          <w:bCs w:val="0"/>
          <w:color w:val="auto"/>
          <w:spacing w:val="6"/>
          <w:kern w:val="0"/>
          <w:sz w:val="32"/>
          <w:szCs w:val="32"/>
          <w:highlight w:val="none"/>
          <w:lang w:val="en-US" w:eastAsia="zh-CN"/>
        </w:rPr>
        <w:t>吐鲁番市文化体育广播电视和旅游局申请了2024年中央专项彩票公益金支持地方社会公益事业发展（体育事业）资金项目，用于改扩建公共体育场面积15000平方米（包括标准田径跑道和足球场），进一步完善吐鲁番市全民健身公共服务体系，满足人民群众日益增长的体育健身需求。2024年中央专项彩票公益金支持地方社会公益事业发展（体育事业）资金项目总投资846.72万元，其中600万元为中央专项彩票公益金，246.72万元为地方财政配套资金。本次针对600万元中央专项彩票公益金开展绩效评价。</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项目实施情况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lang w:val="en-US" w:eastAsia="zh-CN"/>
        </w:rPr>
      </w:pPr>
      <w:r>
        <w:rPr>
          <w:rFonts w:hint="eastAsia" w:ascii="Times New Roman" w:hAnsi="Times New Roman" w:eastAsia="仿宋_GB2312" w:cs="仿宋_GB2312"/>
          <w:b w:val="0"/>
          <w:bCs w:val="0"/>
          <w:color w:val="auto"/>
          <w:kern w:val="0"/>
          <w:sz w:val="32"/>
          <w:szCs w:val="28"/>
          <w:highlight w:val="none"/>
          <w:lang w:val="en-US" w:eastAsia="zh-CN" w:bidi="ar-SA"/>
        </w:rPr>
        <w:t>截至2024年</w:t>
      </w:r>
      <w:r>
        <w:rPr>
          <w:rFonts w:hint="eastAsia" w:ascii="Times New Roman" w:hAnsi="Times New Roman" w:cs="仿宋_GB2312"/>
          <w:b w:val="0"/>
          <w:bCs w:val="0"/>
          <w:color w:val="auto"/>
          <w:kern w:val="0"/>
          <w:sz w:val="32"/>
          <w:szCs w:val="28"/>
          <w:highlight w:val="none"/>
          <w:lang w:val="en-US" w:eastAsia="zh-CN" w:bidi="ar-SA"/>
        </w:rPr>
        <w:t>12</w:t>
      </w:r>
      <w:r>
        <w:rPr>
          <w:rFonts w:hint="eastAsia" w:ascii="Times New Roman" w:hAnsi="Times New Roman" w:eastAsia="仿宋_GB2312" w:cs="仿宋_GB2312"/>
          <w:b w:val="0"/>
          <w:bCs w:val="0"/>
          <w:color w:val="auto"/>
          <w:kern w:val="0"/>
          <w:sz w:val="32"/>
          <w:szCs w:val="28"/>
          <w:highlight w:val="none"/>
          <w:lang w:val="en-US" w:eastAsia="zh-CN" w:bidi="ar-SA"/>
        </w:rPr>
        <w:t>月31日累计完成建设项目工程量的68%，使用政府性基金共计596万元，有效推动了吐鲁番市文旅事业的高质量发展。改扩建公共体育场项目（含标准田径跑道及足球场，总面积15000平方米）已于2024年11月5日开工。因天气转冷、室外气温持续偏低，地面易结冰导致施工条件丧失，项目于2024年11月底暂时停工。截至2024年12月31日，累计完成项目工程总量的68%，主体工程尚未完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（三）绩效目标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3" w:firstLineChars="200"/>
        <w:textAlignment w:val="baseline"/>
        <w:outlineLvl w:val="2"/>
        <w:rPr>
          <w:rFonts w:hint="default" w:ascii="Times New Roman" w:hAnsi="Times New Roman" w:eastAsia="仿宋_GB2312" w:cs="Times New Roman"/>
          <w:b/>
          <w:bCs w:val="0"/>
          <w:color w:val="auto"/>
          <w:kern w:val="0"/>
          <w:sz w:val="32"/>
          <w:szCs w:val="32"/>
          <w:highlight w:val="none"/>
          <w:lang w:bidi="ar"/>
        </w:rPr>
      </w:pPr>
      <w:r>
        <w:rPr>
          <w:rFonts w:hint="default" w:ascii="Times New Roman" w:hAnsi="Times New Roman" w:eastAsia="仿宋_GB2312" w:cs="Times New Roman"/>
          <w:b/>
          <w:bCs w:val="0"/>
          <w:color w:val="auto"/>
          <w:kern w:val="0"/>
          <w:sz w:val="32"/>
          <w:szCs w:val="32"/>
          <w:highlight w:val="none"/>
          <w:lang w:bidi="ar"/>
        </w:rPr>
        <w:t>1.总目标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0"/>
          <w:sz w:val="32"/>
          <w:szCs w:val="28"/>
          <w:highlight w:val="none"/>
          <w:lang w:val="en-US" w:eastAsia="zh-CN" w:bidi="ar-SA"/>
        </w:rPr>
      </w:pPr>
      <w:r>
        <w:rPr>
          <w:rFonts w:hint="default" w:ascii="Times New Roman" w:hAnsi="Times New Roman" w:eastAsia="仿宋_GB2312" w:cs="仿宋_GB2312"/>
          <w:b w:val="0"/>
          <w:bCs w:val="0"/>
          <w:color w:val="auto"/>
          <w:kern w:val="0"/>
          <w:sz w:val="32"/>
          <w:szCs w:val="28"/>
          <w:highlight w:val="none"/>
          <w:lang w:val="en-US" w:eastAsia="zh-CN" w:bidi="ar-SA"/>
        </w:rPr>
        <w:t>为加快公共文化事业发展，推进全市公共文化服务体系建设，深入实施文化惠民工程；统筹推进基本公共文化服务标准化、均等化；指导、监管市级重点文化设施、重大工程建设和基层文化设施建设。计划改扩建公共体育场面积15000平方</w:t>
      </w:r>
      <w:r>
        <w:rPr>
          <w:rFonts w:hint="eastAsia" w:ascii="Times New Roman" w:hAnsi="Times New Roman" w:eastAsia="仿宋_GB2312" w:cs="仿宋_GB2312"/>
          <w:b w:val="0"/>
          <w:bCs w:val="0"/>
          <w:color w:val="auto"/>
          <w:kern w:val="0"/>
          <w:sz w:val="32"/>
          <w:szCs w:val="28"/>
          <w:highlight w:val="none"/>
          <w:lang w:val="en-US" w:eastAsia="zh-CN" w:bidi="ar-SA"/>
        </w:rPr>
        <w:t>米</w:t>
      </w:r>
      <w:r>
        <w:rPr>
          <w:rFonts w:hint="default" w:ascii="Times New Roman" w:hAnsi="Times New Roman" w:eastAsia="仿宋_GB2312" w:cs="仿宋_GB2312"/>
          <w:b w:val="0"/>
          <w:bCs w:val="0"/>
          <w:color w:val="auto"/>
          <w:kern w:val="0"/>
          <w:sz w:val="32"/>
          <w:szCs w:val="28"/>
          <w:highlight w:val="none"/>
          <w:lang w:val="en-US" w:eastAsia="zh-CN" w:bidi="ar-SA"/>
        </w:rPr>
        <w:t>（包括标准田径跑道和足球场），项目建成后对提高全民身体素质、丰富文化生活、弘扬爱国主义集体主义精神、培育体育文化、发展体育产业、实现体育强国梦具有重要意义，对社会、文化建设也具有积极促进作用。</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3" w:firstLineChars="200"/>
        <w:textAlignment w:val="baseline"/>
        <w:outlineLvl w:val="2"/>
        <w:rPr>
          <w:rFonts w:hint="default" w:ascii="Times New Roman" w:hAnsi="Times New Roman" w:eastAsia="仿宋_GB2312" w:cs="Times New Roman"/>
          <w:b/>
          <w:bCs w:val="0"/>
          <w:color w:val="auto"/>
          <w:kern w:val="0"/>
          <w:sz w:val="32"/>
          <w:szCs w:val="32"/>
          <w:highlight w:val="none"/>
          <w:lang w:val="en-US" w:eastAsia="zh-CN" w:bidi="ar"/>
        </w:rPr>
      </w:pPr>
      <w:r>
        <w:rPr>
          <w:rFonts w:hint="default" w:ascii="Times New Roman" w:hAnsi="Times New Roman" w:eastAsia="仿宋_GB2312" w:cs="Times New Roman"/>
          <w:b/>
          <w:bCs w:val="0"/>
          <w:color w:val="auto"/>
          <w:kern w:val="0"/>
          <w:sz w:val="32"/>
          <w:szCs w:val="32"/>
          <w:highlight w:val="none"/>
          <w:lang w:val="en-US" w:eastAsia="zh-CN" w:bidi="ar"/>
        </w:rPr>
        <w:t>2.年度绩效目标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0"/>
          <w:sz w:val="32"/>
          <w:szCs w:val="28"/>
          <w:highlight w:val="none"/>
          <w:lang w:val="en-US" w:eastAsia="zh-CN" w:bidi="ar-SA"/>
        </w:rPr>
      </w:pPr>
      <w:r>
        <w:rPr>
          <w:rFonts w:hint="default" w:ascii="Times New Roman" w:hAnsi="Times New Roman" w:eastAsia="仿宋_GB2312" w:cs="仿宋_GB2312"/>
          <w:b w:val="0"/>
          <w:bCs w:val="0"/>
          <w:color w:val="auto"/>
          <w:kern w:val="0"/>
          <w:sz w:val="32"/>
          <w:szCs w:val="28"/>
          <w:highlight w:val="none"/>
          <w:lang w:val="en-US" w:eastAsia="zh-CN" w:bidi="ar-SA"/>
        </w:rPr>
        <w:t>根据吐鲁番市文化体育广播电视和旅游局提供的《2024年中央专项彩票公益金支持地方社会公益事业发展（体育事业）资金项目绩效目标表》，</w:t>
      </w:r>
      <w:bookmarkStart w:id="6" w:name="_Toc1845"/>
      <w:r>
        <w:rPr>
          <w:rFonts w:hint="default" w:ascii="Times New Roman" w:hAnsi="Times New Roman" w:eastAsia="仿宋_GB2312" w:cs="仿宋_GB2312"/>
          <w:b w:val="0"/>
          <w:bCs w:val="0"/>
          <w:color w:val="auto"/>
          <w:kern w:val="0"/>
          <w:sz w:val="32"/>
          <w:szCs w:val="28"/>
          <w:highlight w:val="none"/>
          <w:lang w:val="en-US" w:eastAsia="zh-CN" w:bidi="ar-SA"/>
        </w:rPr>
        <w:t>本项目年度绩效目标如下：</w:t>
      </w:r>
      <w:bookmarkEnd w:id="6"/>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表1-1  2024年中央专项彩票公益金支持地方社会公益事业发展（体育事业）资金项目绩效目标表</w:t>
      </w:r>
    </w:p>
    <w:tbl>
      <w:tblPr>
        <w:tblStyle w:val="11"/>
        <w:tblW w:w="4842" w:type="pct"/>
        <w:jc w:val="center"/>
        <w:tblLayout w:type="autofit"/>
        <w:tblCellMar>
          <w:top w:w="0" w:type="dxa"/>
          <w:left w:w="108" w:type="dxa"/>
          <w:bottom w:w="0" w:type="dxa"/>
          <w:right w:w="108" w:type="dxa"/>
        </w:tblCellMar>
      </w:tblPr>
      <w:tblGrid>
        <w:gridCol w:w="1674"/>
        <w:gridCol w:w="2138"/>
        <w:gridCol w:w="4441"/>
      </w:tblGrid>
      <w:tr>
        <w:tblPrEx>
          <w:tblCellMar>
            <w:top w:w="0" w:type="dxa"/>
            <w:left w:w="108" w:type="dxa"/>
            <w:bottom w:w="0" w:type="dxa"/>
            <w:right w:w="108" w:type="dxa"/>
          </w:tblCellMar>
        </w:tblPrEx>
        <w:trPr>
          <w:cantSplit/>
          <w:trHeight w:val="379" w:hRule="atLeast"/>
          <w:tblHeader/>
          <w:jc w:val="center"/>
        </w:trPr>
        <w:tc>
          <w:tcPr>
            <w:tcW w:w="1014"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widowControl/>
              <w:jc w:val="center"/>
              <w:textAlignment w:val="center"/>
              <w:rPr>
                <w:rFonts w:hint="default" w:ascii="Times New Roman" w:hAnsi="Times New Roman" w:eastAsia="仿宋_GB2312" w:cs="Times New Roman"/>
                <w:b/>
                <w:bCs/>
                <w:color w:val="000000"/>
                <w:kern w:val="0"/>
                <w:sz w:val="22"/>
                <w:szCs w:val="22"/>
                <w:highlight w:val="none"/>
                <w:u w:val="none"/>
                <w:lang w:bidi="ar"/>
              </w:rPr>
            </w:pPr>
            <w:r>
              <w:rPr>
                <w:rFonts w:hint="default" w:ascii="Times New Roman" w:hAnsi="Times New Roman" w:eastAsia="仿宋_GB2312" w:cs="Times New Roman"/>
                <w:b/>
                <w:bCs/>
                <w:color w:val="000000"/>
                <w:kern w:val="0"/>
                <w:sz w:val="22"/>
                <w:szCs w:val="22"/>
                <w:highlight w:val="none"/>
                <w:u w:val="none"/>
                <w:lang w:bidi="ar"/>
              </w:rPr>
              <w:t>一级指标</w:t>
            </w:r>
          </w:p>
        </w:tc>
        <w:tc>
          <w:tcPr>
            <w:tcW w:w="1295"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widowControl/>
              <w:jc w:val="center"/>
              <w:textAlignment w:val="center"/>
              <w:rPr>
                <w:rFonts w:hint="default" w:ascii="Times New Roman" w:hAnsi="Times New Roman" w:eastAsia="仿宋_GB2312" w:cs="Times New Roman"/>
                <w:b/>
                <w:bCs/>
                <w:color w:val="000000"/>
                <w:kern w:val="0"/>
                <w:sz w:val="22"/>
                <w:szCs w:val="22"/>
                <w:highlight w:val="none"/>
                <w:u w:val="none"/>
                <w:lang w:bidi="ar"/>
              </w:rPr>
            </w:pPr>
            <w:r>
              <w:rPr>
                <w:rFonts w:hint="default" w:ascii="Times New Roman" w:hAnsi="Times New Roman" w:eastAsia="仿宋_GB2312" w:cs="Times New Roman"/>
                <w:b/>
                <w:bCs/>
                <w:color w:val="000000"/>
                <w:kern w:val="0"/>
                <w:sz w:val="22"/>
                <w:szCs w:val="22"/>
                <w:highlight w:val="none"/>
                <w:u w:val="none"/>
                <w:lang w:bidi="ar"/>
              </w:rPr>
              <w:t>二级指标</w:t>
            </w:r>
          </w:p>
        </w:tc>
        <w:tc>
          <w:tcPr>
            <w:tcW w:w="2689" w:type="pct"/>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widowControl/>
              <w:jc w:val="center"/>
              <w:textAlignment w:val="center"/>
              <w:rPr>
                <w:rFonts w:hint="default" w:ascii="Times New Roman" w:hAnsi="Times New Roman" w:eastAsia="仿宋_GB2312" w:cs="Times New Roman"/>
                <w:b/>
                <w:bCs/>
                <w:color w:val="000000"/>
                <w:kern w:val="0"/>
                <w:sz w:val="22"/>
                <w:szCs w:val="22"/>
                <w:highlight w:val="none"/>
                <w:u w:val="none"/>
                <w:lang w:bidi="ar"/>
              </w:rPr>
            </w:pPr>
            <w:r>
              <w:rPr>
                <w:rFonts w:hint="default" w:ascii="Times New Roman" w:hAnsi="Times New Roman" w:eastAsia="仿宋_GB2312" w:cs="Times New Roman"/>
                <w:b/>
                <w:bCs/>
                <w:color w:val="000000"/>
                <w:kern w:val="0"/>
                <w:sz w:val="22"/>
                <w:szCs w:val="22"/>
                <w:highlight w:val="none"/>
                <w:u w:val="none"/>
                <w:lang w:bidi="ar"/>
              </w:rPr>
              <w:t>三级指标</w:t>
            </w:r>
          </w:p>
        </w:tc>
      </w:tr>
      <w:tr>
        <w:tblPrEx>
          <w:tblCellMar>
            <w:top w:w="0" w:type="dxa"/>
            <w:left w:w="108" w:type="dxa"/>
            <w:bottom w:w="0" w:type="dxa"/>
            <w:right w:w="108" w:type="dxa"/>
          </w:tblCellMar>
        </w:tblPrEx>
        <w:trPr>
          <w:trHeight w:val="90"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产出指标</w:t>
            </w:r>
          </w:p>
        </w:tc>
        <w:tc>
          <w:tcPr>
            <w:tcW w:w="1295" w:type="pct"/>
            <w:vMerge w:val="restar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数量指标</w:t>
            </w:r>
          </w:p>
        </w:tc>
        <w:tc>
          <w:tcPr>
            <w:tcW w:w="2689"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auto"/>
                <w:kern w:val="2"/>
                <w:sz w:val="22"/>
                <w:szCs w:val="22"/>
                <w:highlight w:val="none"/>
                <w:u w:val="none"/>
                <w:lang w:bidi="ar-SA"/>
              </w:rPr>
            </w:pPr>
            <w:r>
              <w:rPr>
                <w:rFonts w:hint="default" w:ascii="Times New Roman" w:hAnsi="Times New Roman" w:eastAsia="仿宋_GB2312" w:cs="Times New Roman"/>
                <w:color w:val="auto"/>
                <w:kern w:val="2"/>
                <w:sz w:val="22"/>
                <w:szCs w:val="22"/>
                <w:highlight w:val="none"/>
                <w:u w:val="none"/>
                <w:lang w:bidi="ar-SA"/>
              </w:rPr>
              <w:t>建设公共体育场标准田径跑道和标准11人制足球场</w:t>
            </w:r>
          </w:p>
        </w:tc>
      </w:tr>
      <w:tr>
        <w:tblPrEx>
          <w:tblCellMar>
            <w:top w:w="0" w:type="dxa"/>
            <w:left w:w="108" w:type="dxa"/>
            <w:bottom w:w="0" w:type="dxa"/>
            <w:right w:w="108" w:type="dxa"/>
          </w:tblCellMar>
        </w:tblPrEx>
        <w:trPr>
          <w:trHeight w:val="660"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p>
        </w:tc>
        <w:tc>
          <w:tcPr>
            <w:tcW w:w="1295" w:type="pct"/>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p>
        </w:tc>
        <w:tc>
          <w:tcPr>
            <w:tcW w:w="2689"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color w:val="auto"/>
                <w:kern w:val="2"/>
                <w:sz w:val="22"/>
                <w:szCs w:val="22"/>
                <w:highlight w:val="none"/>
                <w:u w:val="none"/>
                <w:lang w:val="en-US" w:eastAsia="zh-CN" w:bidi="ar-SA"/>
              </w:rPr>
              <w:t>建设足球场地标准</w:t>
            </w:r>
          </w:p>
        </w:tc>
      </w:tr>
      <w:tr>
        <w:tblPrEx>
          <w:tblCellMar>
            <w:top w:w="0" w:type="dxa"/>
            <w:left w:w="108" w:type="dxa"/>
            <w:bottom w:w="0" w:type="dxa"/>
            <w:right w:w="108" w:type="dxa"/>
          </w:tblCellMar>
        </w:tblPrEx>
        <w:trPr>
          <w:trHeight w:val="585"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p>
        </w:tc>
        <w:tc>
          <w:tcPr>
            <w:tcW w:w="1295" w:type="pct"/>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p>
        </w:tc>
        <w:tc>
          <w:tcPr>
            <w:tcW w:w="2689"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color w:val="auto"/>
                <w:kern w:val="2"/>
                <w:sz w:val="22"/>
                <w:szCs w:val="22"/>
                <w:highlight w:val="none"/>
                <w:u w:val="none"/>
                <w:lang w:val="en-US" w:eastAsia="zh-CN" w:bidi="ar-SA"/>
              </w:rPr>
              <w:t>建设面积</w:t>
            </w:r>
          </w:p>
        </w:tc>
      </w:tr>
      <w:tr>
        <w:tblPrEx>
          <w:tblCellMar>
            <w:top w:w="0" w:type="dxa"/>
            <w:left w:w="108" w:type="dxa"/>
            <w:bottom w:w="0" w:type="dxa"/>
            <w:right w:w="108" w:type="dxa"/>
          </w:tblCellMar>
        </w:tblPrEx>
        <w:trPr>
          <w:trHeight w:val="585"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p>
        </w:tc>
        <w:tc>
          <w:tcPr>
            <w:tcW w:w="1295"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质量指标</w:t>
            </w:r>
          </w:p>
        </w:tc>
        <w:tc>
          <w:tcPr>
            <w:tcW w:w="2689"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auto"/>
                <w:kern w:val="2"/>
                <w:sz w:val="22"/>
                <w:szCs w:val="22"/>
                <w:highlight w:val="none"/>
                <w:u w:val="none"/>
                <w:lang w:bidi="ar-SA"/>
              </w:rPr>
            </w:pPr>
            <w:r>
              <w:rPr>
                <w:rFonts w:hint="eastAsia" w:ascii="Times New Roman" w:hAnsi="Times New Roman" w:eastAsia="仿宋_GB2312" w:cs="Times New Roman"/>
                <w:color w:val="auto"/>
                <w:kern w:val="2"/>
                <w:sz w:val="22"/>
                <w:szCs w:val="22"/>
                <w:highlight w:val="none"/>
                <w:u w:val="none"/>
                <w:lang w:val="en-US" w:eastAsia="zh-CN" w:bidi="ar-SA"/>
              </w:rPr>
              <w:t>竣工验收合格</w:t>
            </w:r>
            <w:r>
              <w:rPr>
                <w:rFonts w:hint="default" w:ascii="Times New Roman" w:hAnsi="Times New Roman" w:eastAsia="仿宋_GB2312" w:cs="Times New Roman"/>
                <w:color w:val="auto"/>
                <w:kern w:val="2"/>
                <w:sz w:val="22"/>
                <w:szCs w:val="22"/>
                <w:highlight w:val="none"/>
                <w:u w:val="none"/>
                <w:lang w:val="en-US" w:eastAsia="zh-CN" w:bidi="ar-SA"/>
              </w:rPr>
              <w:t>率</w:t>
            </w:r>
          </w:p>
        </w:tc>
      </w:tr>
      <w:tr>
        <w:tblPrEx>
          <w:tblCellMar>
            <w:top w:w="0" w:type="dxa"/>
            <w:left w:w="108" w:type="dxa"/>
            <w:bottom w:w="0" w:type="dxa"/>
            <w:right w:w="108" w:type="dxa"/>
          </w:tblCellMar>
        </w:tblPrEx>
        <w:trPr>
          <w:trHeight w:val="811"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p>
        </w:tc>
        <w:tc>
          <w:tcPr>
            <w:tcW w:w="1295"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时效指标</w:t>
            </w:r>
          </w:p>
        </w:tc>
        <w:tc>
          <w:tcPr>
            <w:tcW w:w="2689"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color w:val="auto"/>
                <w:kern w:val="2"/>
                <w:sz w:val="22"/>
                <w:szCs w:val="22"/>
                <w:highlight w:val="none"/>
                <w:u w:val="none"/>
                <w:lang w:val="en-US" w:eastAsia="zh-CN" w:bidi="ar-SA"/>
              </w:rPr>
              <w:t>场地建设完成及时率</w:t>
            </w:r>
          </w:p>
        </w:tc>
      </w:tr>
      <w:tr>
        <w:tblPrEx>
          <w:tblCellMar>
            <w:top w:w="0" w:type="dxa"/>
            <w:left w:w="108" w:type="dxa"/>
            <w:bottom w:w="0" w:type="dxa"/>
            <w:right w:w="108" w:type="dxa"/>
          </w:tblCellMar>
        </w:tblPrEx>
        <w:trPr>
          <w:trHeight w:val="1190"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p>
        </w:tc>
        <w:tc>
          <w:tcPr>
            <w:tcW w:w="1295"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成本指标</w:t>
            </w:r>
          </w:p>
        </w:tc>
        <w:tc>
          <w:tcPr>
            <w:tcW w:w="2689"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公共体育场标准田径跑道和标准11人制足球场资金量</w:t>
            </w:r>
          </w:p>
        </w:tc>
      </w:tr>
      <w:tr>
        <w:tblPrEx>
          <w:tblCellMar>
            <w:top w:w="0" w:type="dxa"/>
            <w:left w:w="108" w:type="dxa"/>
            <w:bottom w:w="0" w:type="dxa"/>
            <w:right w:w="108" w:type="dxa"/>
          </w:tblCellMar>
        </w:tblPrEx>
        <w:trPr>
          <w:trHeight w:val="866"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bidi="ar-SA"/>
              </w:rPr>
              <w:t>效益指标</w:t>
            </w:r>
          </w:p>
        </w:tc>
        <w:tc>
          <w:tcPr>
            <w:tcW w:w="1295"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000000"/>
                <w:kern w:val="2"/>
                <w:sz w:val="22"/>
                <w:szCs w:val="22"/>
                <w:highlight w:val="none"/>
                <w:u w:val="none"/>
                <w:lang w:bidi="ar-SA"/>
              </w:rPr>
            </w:pPr>
            <w:r>
              <w:rPr>
                <w:rFonts w:hint="default" w:ascii="Times New Roman" w:hAnsi="Times New Roman" w:eastAsia="仿宋_GB2312" w:cs="Times New Roman"/>
                <w:color w:val="000000"/>
                <w:kern w:val="2"/>
                <w:sz w:val="22"/>
                <w:szCs w:val="22"/>
                <w:highlight w:val="none"/>
                <w:u w:val="none"/>
                <w:lang w:val="en-US" w:eastAsia="zh-CN" w:bidi="ar-SA"/>
              </w:rPr>
              <w:t>社会</w:t>
            </w:r>
            <w:r>
              <w:rPr>
                <w:rFonts w:hint="default" w:ascii="Times New Roman" w:hAnsi="Times New Roman" w:eastAsia="仿宋_GB2312" w:cs="Times New Roman"/>
                <w:color w:val="000000"/>
                <w:kern w:val="2"/>
                <w:sz w:val="22"/>
                <w:szCs w:val="22"/>
                <w:highlight w:val="none"/>
                <w:u w:val="none"/>
                <w:lang w:bidi="ar-SA"/>
              </w:rPr>
              <w:t>效益指标</w:t>
            </w:r>
          </w:p>
        </w:tc>
        <w:tc>
          <w:tcPr>
            <w:tcW w:w="2689" w:type="pct"/>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项目受益人数</w:t>
            </w:r>
          </w:p>
        </w:tc>
      </w:tr>
    </w:tbl>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二、绩效评价情况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（一）评价结论</w:t>
      </w:r>
    </w:p>
    <w:p>
      <w:pPr>
        <w:keepNext w:val="0"/>
        <w:keepLines w:val="0"/>
        <w:pageBreakBefore w:val="0"/>
        <w:widowControl/>
        <w:kinsoku/>
        <w:wordWrap/>
        <w:overflowPunct/>
        <w:topLinePunct w:val="0"/>
        <w:autoSpaceDE/>
        <w:autoSpaceDN/>
        <w:bidi w:val="0"/>
        <w:adjustRightInd/>
        <w:snapToGrid/>
        <w:spacing w:line="560" w:lineRule="exact"/>
        <w:ind w:firstLine="664"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bidi="ar"/>
        </w:rPr>
        <w:t>运用由评价组研发并通过</w:t>
      </w:r>
      <w:r>
        <w:rPr>
          <w:rFonts w:hint="eastAsia" w:ascii="Times New Roman" w:hAnsi="Times New Roman" w:eastAsia="仿宋_GB2312" w:cs="仿宋_GB2312"/>
          <w:color w:val="auto"/>
          <w:spacing w:val="6"/>
          <w:kern w:val="0"/>
          <w:sz w:val="32"/>
          <w:szCs w:val="32"/>
          <w:highlight w:val="none"/>
          <w:lang w:val="en-US" w:eastAsia="zh-CN" w:bidi="ar"/>
        </w:rPr>
        <w:t>被评价</w:t>
      </w:r>
      <w:r>
        <w:rPr>
          <w:rFonts w:hint="eastAsia" w:ascii="Times New Roman" w:hAnsi="Times New Roman" w:eastAsia="仿宋_GB2312" w:cs="仿宋_GB2312"/>
          <w:color w:val="auto"/>
          <w:spacing w:val="6"/>
          <w:kern w:val="0"/>
          <w:sz w:val="32"/>
          <w:szCs w:val="32"/>
          <w:highlight w:val="none"/>
          <w:lang w:bidi="ar"/>
        </w:rPr>
        <w:t>单位确认的评价指标体系及评分标准，通过基础数据填报和访谈获取的数据及项目单位提供的资料，评价组对2024年中央专项彩票公益金支持地方社会公益事业发展（体育事业）资金</w:t>
      </w:r>
      <w:r>
        <w:rPr>
          <w:rFonts w:hint="default" w:ascii="Times New Roman" w:hAnsi="Times New Roman" w:eastAsia="仿宋_GB2312" w:cs="Times New Roman"/>
          <w:b w:val="0"/>
          <w:bCs/>
          <w:color w:val="auto"/>
          <w:kern w:val="0"/>
          <w:sz w:val="32"/>
          <w:szCs w:val="32"/>
          <w:highlight w:val="none"/>
          <w:lang w:val="en-US" w:eastAsia="zh-CN" w:bidi="ar"/>
        </w:rPr>
        <w:t>项目</w:t>
      </w:r>
      <w:r>
        <w:rPr>
          <w:rFonts w:hint="eastAsia" w:ascii="Times New Roman" w:hAnsi="Times New Roman" w:eastAsia="仿宋_GB2312" w:cs="仿宋_GB2312"/>
          <w:color w:val="auto"/>
          <w:spacing w:val="6"/>
          <w:kern w:val="0"/>
          <w:sz w:val="32"/>
          <w:szCs w:val="32"/>
          <w:highlight w:val="none"/>
          <w:lang w:bidi="ar"/>
        </w:rPr>
        <w:t>进行了独立客观的评价，最终评分结果为</w:t>
      </w:r>
      <w:r>
        <w:rPr>
          <w:rFonts w:hint="eastAsia" w:ascii="Times New Roman" w:hAnsi="Times New Roman" w:eastAsia="仿宋_GB2312" w:cs="仿宋_GB2312"/>
          <w:color w:val="auto"/>
          <w:spacing w:val="6"/>
          <w:kern w:val="0"/>
          <w:sz w:val="32"/>
          <w:szCs w:val="32"/>
          <w:highlight w:val="none"/>
          <w:lang w:val="en-US" w:eastAsia="zh-CN" w:bidi="ar"/>
        </w:rPr>
        <w:t>66.75</w:t>
      </w:r>
      <w:r>
        <w:rPr>
          <w:rFonts w:hint="eastAsia" w:ascii="Times New Roman" w:hAnsi="Times New Roman" w:eastAsia="仿宋_GB2312" w:cs="仿宋_GB2312"/>
          <w:color w:val="auto"/>
          <w:spacing w:val="6"/>
          <w:kern w:val="0"/>
          <w:sz w:val="32"/>
          <w:szCs w:val="32"/>
          <w:highlight w:val="none"/>
          <w:lang w:bidi="ar"/>
        </w:rPr>
        <w:t>分，评价等级为“</w:t>
      </w:r>
      <w:r>
        <w:rPr>
          <w:rFonts w:hint="eastAsia" w:ascii="Times New Roman" w:hAnsi="Times New Roman" w:eastAsia="仿宋_GB2312" w:cs="仿宋_GB2312"/>
          <w:color w:val="auto"/>
          <w:spacing w:val="6"/>
          <w:kern w:val="0"/>
          <w:sz w:val="32"/>
          <w:szCs w:val="32"/>
          <w:highlight w:val="none"/>
          <w:lang w:val="en-US" w:eastAsia="zh-CN" w:bidi="ar"/>
        </w:rPr>
        <w:t>中</w:t>
      </w:r>
      <w:r>
        <w:rPr>
          <w:rFonts w:hint="eastAsia" w:ascii="Times New Roman" w:hAnsi="Times New Roman" w:eastAsia="仿宋_GB2312" w:cs="仿宋_GB2312"/>
          <w:color w:val="auto"/>
          <w:spacing w:val="6"/>
          <w:kern w:val="0"/>
          <w:sz w:val="32"/>
          <w:szCs w:val="32"/>
          <w:highlight w:val="none"/>
          <w:lang w:bidi="ar"/>
        </w:rPr>
        <w:t>”</w:t>
      </w:r>
      <w:r>
        <w:rPr>
          <w:rFonts w:hint="eastAsia" w:ascii="Times New Roman" w:hAnsi="Times New Roman" w:eastAsia="仿宋_GB2312" w:cs="仿宋_GB2312"/>
          <w:color w:val="auto"/>
          <w:spacing w:val="6"/>
          <w:kern w:val="0"/>
          <w:sz w:val="32"/>
          <w:szCs w:val="32"/>
          <w:highlight w:val="none"/>
          <w:lang w:eastAsia="zh-CN" w:bidi="ar"/>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（二）预算执行情况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bidi="ar"/>
        </w:rPr>
        <w:t>2024年中央专项彩票公益金支持地方社会公益事业发展（体育事业）资金项目总投资846.72万元，其中600万元为中央专项彩票公益金，246.72万元为地方财政配套资金。中央专项彩票公益金</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年实际到位</w:t>
      </w:r>
      <w:r>
        <w:rPr>
          <w:rFonts w:hint="eastAsia" w:ascii="Times New Roman" w:hAnsi="Times New Roman" w:eastAsia="仿宋_GB2312" w:cs="Times New Roman"/>
          <w:b w:val="0"/>
          <w:bCs w:val="0"/>
          <w:color w:val="auto"/>
          <w:sz w:val="32"/>
          <w:szCs w:val="32"/>
          <w:highlight w:val="none"/>
          <w:lang w:val="en-US" w:eastAsia="zh-CN"/>
        </w:rPr>
        <w:t>600</w:t>
      </w:r>
      <w:r>
        <w:rPr>
          <w:rFonts w:hint="default" w:ascii="Times New Roman" w:hAnsi="Times New Roman" w:eastAsia="仿宋_GB2312" w:cs="Times New Roman"/>
          <w:b w:val="0"/>
          <w:bCs w:val="0"/>
          <w:color w:val="auto"/>
          <w:sz w:val="32"/>
          <w:szCs w:val="32"/>
          <w:highlight w:val="none"/>
          <w:lang w:val="en-US" w:eastAsia="zh-CN"/>
        </w:rPr>
        <w:t>万元，</w:t>
      </w:r>
      <w:r>
        <w:rPr>
          <w:rFonts w:hint="eastAsia" w:ascii="Times New Roman" w:hAnsi="Times New Roman" w:eastAsia="仿宋_GB2312" w:cs="Times New Roman"/>
          <w:b w:val="0"/>
          <w:bCs w:val="0"/>
          <w:color w:val="auto"/>
          <w:sz w:val="32"/>
          <w:szCs w:val="32"/>
          <w:highlight w:val="none"/>
          <w:lang w:val="en-US" w:eastAsia="zh-CN"/>
        </w:rPr>
        <w:t>资金到位率100%。</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年实际支出</w:t>
      </w:r>
      <w:r>
        <w:rPr>
          <w:rFonts w:hint="eastAsia" w:ascii="Times New Roman" w:hAnsi="Times New Roman" w:eastAsia="仿宋_GB2312" w:cs="Times New Roman"/>
          <w:b w:val="0"/>
          <w:bCs w:val="0"/>
          <w:color w:val="auto"/>
          <w:sz w:val="32"/>
          <w:szCs w:val="32"/>
          <w:highlight w:val="none"/>
          <w:lang w:val="en-US" w:eastAsia="zh-CN"/>
        </w:rPr>
        <w:t>596</w:t>
      </w:r>
      <w:r>
        <w:rPr>
          <w:rFonts w:hint="default" w:ascii="Times New Roman" w:hAnsi="Times New Roman" w:eastAsia="仿宋_GB2312" w:cs="Times New Roman"/>
          <w:b w:val="0"/>
          <w:bCs w:val="0"/>
          <w:color w:val="auto"/>
          <w:sz w:val="32"/>
          <w:szCs w:val="32"/>
          <w:highlight w:val="none"/>
          <w:lang w:val="en-US" w:eastAsia="zh-CN"/>
        </w:rPr>
        <w:t>万元，预算执行率</w:t>
      </w:r>
      <w:r>
        <w:rPr>
          <w:rFonts w:hint="eastAsia" w:ascii="Times New Roman" w:hAnsi="Times New Roman" w:eastAsia="仿宋_GB2312" w:cs="Times New Roman"/>
          <w:b w:val="0"/>
          <w:bCs w:val="0"/>
          <w:color w:val="auto"/>
          <w:sz w:val="32"/>
          <w:szCs w:val="32"/>
          <w:highlight w:val="none"/>
          <w:lang w:val="en-US" w:eastAsia="zh-CN"/>
        </w:rPr>
        <w:t>99.33</w:t>
      </w:r>
      <w:r>
        <w:rPr>
          <w:rFonts w:hint="default" w:ascii="Times New Roman" w:hAnsi="Times New Roman" w:eastAsia="仿宋_GB2312" w:cs="Times New Roman"/>
          <w:b w:val="0"/>
          <w:bCs w:val="0"/>
          <w:color w:val="auto"/>
          <w:sz w:val="32"/>
          <w:szCs w:val="32"/>
          <w:highlight w:val="none"/>
          <w:lang w:val="en-US"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（三）项目绩效情况</w:t>
      </w:r>
    </w:p>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依据《国务院关于印发全民健身计划（2021</w:t>
      </w:r>
      <w:r>
        <w:rPr>
          <w:rFonts w:hint="eastAsia" w:ascii="Times New Roman" w:hAnsi="Times New Roman"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2025年）的通知》（国发</w:t>
      </w:r>
      <w:r>
        <w:rPr>
          <w:rFonts w:hint="eastAsia" w:ascii="Times New Roman" w:hAnsi="Times New Roman" w:cs="仿宋_GB2312"/>
          <w:b w:val="0"/>
          <w:bCs w:val="0"/>
          <w:color w:val="auto"/>
          <w:sz w:val="32"/>
          <w:szCs w:val="32"/>
          <w:highlight w:val="none"/>
          <w:lang w:val="en-US" w:eastAsia="zh-CN"/>
        </w:rPr>
        <w:t>〔2021〕11号</w:t>
      </w:r>
      <w:r>
        <w:rPr>
          <w:rFonts w:hint="eastAsia" w:ascii="Times New Roman" w:hAnsi="Times New Roman" w:eastAsia="仿宋_GB2312" w:cs="仿宋_GB2312"/>
          <w:b w:val="0"/>
          <w:bCs w:val="0"/>
          <w:color w:val="auto"/>
          <w:sz w:val="32"/>
          <w:szCs w:val="32"/>
          <w:highlight w:val="none"/>
          <w:lang w:val="en-US" w:eastAsia="zh-CN"/>
        </w:rPr>
        <w:t>）及《公共文化体育设施条例》（国务院令第382号）文件精神，为强化吐鲁番市体育设施基础建设，充分发挥吐鲁番独特的气候资源优势，</w:t>
      </w:r>
      <w:r>
        <w:rPr>
          <w:rFonts w:hint="eastAsia" w:ascii="Times New Roman" w:hAnsi="Times New Roman" w:cs="仿宋_GB2312"/>
          <w:b w:val="0"/>
          <w:bCs w:val="0"/>
          <w:color w:val="auto"/>
          <w:sz w:val="32"/>
          <w:szCs w:val="32"/>
          <w:highlight w:val="none"/>
          <w:lang w:val="en-US" w:eastAsia="zh-CN"/>
        </w:rPr>
        <w:t>新建了11人制足球场及田径塑胶跑道</w:t>
      </w:r>
      <w:r>
        <w:rPr>
          <w:rFonts w:hint="eastAsia" w:ascii="Times New Roman" w:hAnsi="Times New Roman" w:eastAsia="仿宋_GB2312" w:cs="仿宋_GB2312"/>
          <w:b w:val="0"/>
          <w:bCs w:val="0"/>
          <w:color w:val="auto"/>
          <w:sz w:val="32"/>
          <w:szCs w:val="32"/>
          <w:highlight w:val="none"/>
          <w:lang w:val="en-US" w:eastAsia="zh-CN"/>
        </w:rPr>
        <w:t>。该项目面向</w:t>
      </w:r>
      <w:r>
        <w:rPr>
          <w:rFonts w:hint="eastAsia" w:ascii="Times New Roman" w:hAnsi="Times New Roman" w:cs="仿宋_GB2312"/>
          <w:b w:val="0"/>
          <w:bCs w:val="0"/>
          <w:color w:val="auto"/>
          <w:sz w:val="32"/>
          <w:szCs w:val="32"/>
          <w:highlight w:val="none"/>
          <w:lang w:val="en-US" w:eastAsia="zh-CN"/>
        </w:rPr>
        <w:t>吐鲁番</w:t>
      </w:r>
      <w:r>
        <w:rPr>
          <w:rFonts w:hint="eastAsia" w:ascii="Times New Roman" w:hAnsi="Times New Roman" w:eastAsia="仿宋_GB2312" w:cs="仿宋_GB2312"/>
          <w:b w:val="0"/>
          <w:bCs w:val="0"/>
          <w:color w:val="auto"/>
          <w:sz w:val="32"/>
          <w:szCs w:val="32"/>
          <w:highlight w:val="none"/>
          <w:lang w:val="en-US" w:eastAsia="zh-CN"/>
        </w:rPr>
        <w:t>市各族群众开放，有效提供全民健身活动场地。</w:t>
      </w:r>
    </w:p>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项目建设显著改善了吐鲁番市公共体育设施滞后局面，优化了人居环境，有力推动了全民健身运动发展，更好地满足了人民群众日益增长的体育健身需求。项目进一步彰显了体育的综合功能与社会效应，丰富了社会体育文化生活，提升了城市品质，助力构建宜居城市。</w:t>
      </w:r>
    </w:p>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rPr>
        <w:t>项目于2024年11月5日开工。因入冬后气温骤降，地面易结冰导致施工条件不足，于11月底暂停。2025年复工建设，截至目前，工程已全部完工，待验收。</w:t>
      </w:r>
    </w:p>
    <w:p>
      <w:pPr>
        <w:pStyle w:val="18"/>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32"/>
          <w:szCs w:val="32"/>
          <w:highlight w:val="none"/>
          <w:lang w:val="en-US" w:eastAsia="zh-CN" w:bidi="en-US"/>
        </w:rPr>
      </w:pPr>
      <w:r>
        <w:rPr>
          <w:rFonts w:hint="default" w:ascii="Times New Roman" w:hAnsi="Times New Roman" w:eastAsia="黑体" w:cs="Times New Roman"/>
          <w:color w:val="auto"/>
          <w:kern w:val="0"/>
          <w:sz w:val="32"/>
          <w:szCs w:val="32"/>
          <w:highlight w:val="none"/>
          <w:lang w:val="en-US" w:eastAsia="zh-CN" w:bidi="en-US"/>
        </w:rPr>
        <w:t>三、经验、问题和建议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（一）主要经验及做法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64" w:firstLineChars="200"/>
        <w:jc w:val="both"/>
        <w:textAlignment w:val="auto"/>
        <w:outlineLvl w:val="9"/>
        <w:rPr>
          <w:rStyle w:val="12"/>
          <w:rFonts w:hint="eastAsia" w:ascii="Times New Roman" w:hAnsi="Times New Roman" w:eastAsia="仿宋_GB2312" w:cs="仿宋_GB2312"/>
          <w:b w:val="0"/>
          <w:i w:val="0"/>
          <w:caps w:val="0"/>
          <w:color w:val="auto"/>
          <w:spacing w:val="6"/>
          <w:w w:val="100"/>
          <w:kern w:val="0"/>
          <w:sz w:val="32"/>
          <w:szCs w:val="32"/>
          <w:highlight w:val="none"/>
          <w:lang w:val="en-US" w:eastAsia="zh-CN" w:bidi="ar"/>
        </w:rPr>
      </w:pPr>
      <w:r>
        <w:rPr>
          <w:rStyle w:val="12"/>
          <w:rFonts w:hint="eastAsia" w:ascii="Times New Roman" w:hAnsi="Times New Roman" w:eastAsia="仿宋_GB2312" w:cs="仿宋_GB2312"/>
          <w:b w:val="0"/>
          <w:i w:val="0"/>
          <w:caps w:val="0"/>
          <w:color w:val="auto"/>
          <w:spacing w:val="6"/>
          <w:w w:val="100"/>
          <w:kern w:val="0"/>
          <w:sz w:val="32"/>
          <w:szCs w:val="32"/>
          <w:highlight w:val="none"/>
          <w:lang w:val="en-US" w:eastAsia="zh-CN" w:bidi="ar"/>
        </w:rPr>
        <w:t>项目管理模式采用DBB项目管理模式。即设计－招标－建造模式（Design-Bid-Build），是传统且应用广泛的工程项目管理模式，其核心是将项目分为设计、招标、建造三个阶段依次进行。项目严格按照设计→招标→施工的线形顺序推进，前一阶段完成后再进入下一阶段。分别与设计单位、施工单位签订合同，设计单位负责设计，施工单位负责按图施工，业主通常委托监理单位进行施工监督。在项目全过程中拥有较大控制权，可直接管理设计和施工环节。管理流程清晰，易于操作和把控。设计与施工界限分明，责任明确。能在设计阶段充分表达需求，对最终成果有较高掌控度。</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64" w:firstLineChars="200"/>
        <w:jc w:val="both"/>
        <w:textAlignment w:val="auto"/>
        <w:outlineLvl w:val="9"/>
        <w:rPr>
          <w:rStyle w:val="12"/>
          <w:rFonts w:hint="default" w:ascii="Times New Roman" w:hAnsi="Times New Roman" w:eastAsia="仿宋_GB2312" w:cs="仿宋_GB2312"/>
          <w:b w:val="0"/>
          <w:i w:val="0"/>
          <w:caps w:val="0"/>
          <w:color w:val="auto"/>
          <w:spacing w:val="6"/>
          <w:w w:val="100"/>
          <w:kern w:val="0"/>
          <w:sz w:val="32"/>
          <w:szCs w:val="32"/>
          <w:highlight w:val="none"/>
          <w:lang w:val="en-US" w:eastAsia="zh-CN" w:bidi="ar"/>
        </w:rPr>
      </w:pPr>
      <w:r>
        <w:rPr>
          <w:rStyle w:val="12"/>
          <w:rFonts w:hint="eastAsia" w:ascii="Times New Roman" w:hAnsi="Times New Roman" w:eastAsia="仿宋_GB2312" w:cs="仿宋_GB2312"/>
          <w:b w:val="0"/>
          <w:i w:val="0"/>
          <w:caps w:val="0"/>
          <w:color w:val="auto"/>
          <w:spacing w:val="6"/>
          <w:w w:val="100"/>
          <w:kern w:val="0"/>
          <w:sz w:val="32"/>
          <w:szCs w:val="32"/>
          <w:highlight w:val="none"/>
          <w:lang w:val="en-US" w:eastAsia="zh-CN" w:bidi="ar"/>
        </w:rPr>
        <w:t>这种模式适用于对项目功能、设计要求明确，有充足时间和管理能力的项目，如政府公共建筑、大型基础设施等。</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（二）存在问题与不足</w:t>
      </w:r>
    </w:p>
    <w:p>
      <w:pPr>
        <w:pStyle w:val="15"/>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after="0" w:line="560" w:lineRule="exact"/>
        <w:ind w:left="0" w:right="0" w:rightChars="0" w:firstLine="643" w:firstLineChars="200"/>
        <w:jc w:val="both"/>
        <w:textAlignment w:val="auto"/>
        <w:outlineLvl w:val="9"/>
        <w:rPr>
          <w:rStyle w:val="12"/>
          <w:rFonts w:hint="default"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pPr>
      <w:r>
        <w:rPr>
          <w:rFonts w:hint="eastAsia" w:ascii="Times New Roman" w:hAnsi="Times New Roman" w:eastAsia="仿宋_GB2312" w:cs="Times New Roman"/>
          <w:b/>
          <w:bCs/>
          <w:i w:val="0"/>
          <w:caps w:val="0"/>
          <w:color w:val="000000"/>
          <w:spacing w:val="0"/>
          <w:w w:val="100"/>
          <w:kern w:val="0"/>
          <w:sz w:val="32"/>
          <w:szCs w:val="32"/>
          <w:highlight w:val="none"/>
          <w:u w:val="none"/>
          <w:shd w:val="clear"/>
          <w:lang w:val="en-US" w:eastAsia="zh-CN" w:bidi="ar"/>
        </w:rPr>
        <w:t>1.存在以下重大合同履行瑕疵</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60" w:lineRule="exact"/>
        <w:ind w:left="0" w:right="0" w:rightChars="0" w:firstLine="664" w:firstLineChars="200"/>
        <w:jc w:val="both"/>
        <w:textAlignment w:val="auto"/>
        <w:outlineLvl w:val="9"/>
        <w:rPr>
          <w:rStyle w:val="12"/>
          <w:rFonts w:hint="default" w:ascii="Times New Roman" w:hAnsi="Times New Roman" w:eastAsia="仿宋_GB2312" w:cs="仿宋_GB2312"/>
          <w:b w:val="0"/>
          <w:bCs w:val="0"/>
          <w:i w:val="0"/>
          <w:caps w:val="0"/>
          <w:color w:val="auto"/>
          <w:spacing w:val="6"/>
          <w:w w:val="100"/>
          <w:kern w:val="0"/>
          <w:sz w:val="32"/>
          <w:szCs w:val="32"/>
          <w:highlight w:val="none"/>
          <w:u w:val="none"/>
          <w:shd w:val="clear"/>
          <w:lang w:val="en-US" w:eastAsia="zh-CN" w:bidi="ar"/>
        </w:rPr>
      </w:pPr>
      <w:r>
        <w:rPr>
          <w:rStyle w:val="12"/>
          <w:rFonts w:hint="default" w:ascii="Times New Roman" w:hAnsi="Times New Roman" w:eastAsia="仿宋_GB2312" w:cs="仿宋_GB2312"/>
          <w:b w:val="0"/>
          <w:bCs w:val="0"/>
          <w:i w:val="0"/>
          <w:caps w:val="0"/>
          <w:color w:val="auto"/>
          <w:spacing w:val="6"/>
          <w:w w:val="100"/>
          <w:kern w:val="0"/>
          <w:sz w:val="32"/>
          <w:szCs w:val="32"/>
          <w:highlight w:val="none"/>
          <w:u w:val="none"/>
          <w:shd w:val="clear"/>
          <w:lang w:val="en-US" w:eastAsia="zh-CN" w:bidi="ar"/>
        </w:rPr>
        <w:t>①工期违约事实：根据主合同第二条约定，项目应于2024年12月20日完成竣工验收，但根据资料显示2024年12月20日项目并未完成施工，项目已逾期。依据《中华人民共和国民法典》第五百七十七条，该行为已构成根本性违约。</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60" w:lineRule="exact"/>
        <w:ind w:left="0" w:right="0" w:rightChars="0" w:firstLine="664" w:firstLineChars="200"/>
        <w:jc w:val="both"/>
        <w:textAlignment w:val="auto"/>
        <w:outlineLvl w:val="9"/>
        <w:rPr>
          <w:rStyle w:val="12"/>
          <w:rFonts w:hint="default" w:ascii="Times New Roman" w:hAnsi="Times New Roman" w:eastAsia="仿宋_GB2312" w:cs="仿宋_GB2312"/>
          <w:b w:val="0"/>
          <w:bCs w:val="0"/>
          <w:i w:val="0"/>
          <w:caps w:val="0"/>
          <w:color w:val="auto"/>
          <w:spacing w:val="6"/>
          <w:w w:val="100"/>
          <w:kern w:val="0"/>
          <w:sz w:val="32"/>
          <w:szCs w:val="32"/>
          <w:highlight w:val="none"/>
          <w:u w:val="none"/>
          <w:shd w:val="clear"/>
          <w:lang w:val="en-US" w:eastAsia="zh-CN" w:bidi="ar"/>
        </w:rPr>
      </w:pPr>
      <w:r>
        <w:rPr>
          <w:rStyle w:val="12"/>
          <w:rFonts w:hint="default" w:ascii="Times New Roman" w:hAnsi="Times New Roman" w:eastAsia="仿宋_GB2312" w:cs="仿宋_GB2312"/>
          <w:b w:val="0"/>
          <w:bCs w:val="0"/>
          <w:i w:val="0"/>
          <w:caps w:val="0"/>
          <w:color w:val="auto"/>
          <w:spacing w:val="6"/>
          <w:w w:val="100"/>
          <w:kern w:val="0"/>
          <w:sz w:val="32"/>
          <w:szCs w:val="32"/>
          <w:highlight w:val="none"/>
          <w:u w:val="none"/>
          <w:shd w:val="clear"/>
          <w:lang w:val="en-US" w:eastAsia="zh-CN" w:bidi="ar"/>
        </w:rPr>
        <w:t>②程序性缺陷：项目实施单位存在双重程序违规</w:t>
      </w:r>
      <w:r>
        <w:rPr>
          <w:rStyle w:val="12"/>
          <w:rFonts w:hint="eastAsia" w:ascii="Times New Roman" w:hAnsi="Times New Roman" w:eastAsia="仿宋_GB2312" w:cs="仿宋_GB2312"/>
          <w:b w:val="0"/>
          <w:bCs w:val="0"/>
          <w:i w:val="0"/>
          <w:caps w:val="0"/>
          <w:color w:val="auto"/>
          <w:spacing w:val="6"/>
          <w:w w:val="100"/>
          <w:kern w:val="0"/>
          <w:sz w:val="32"/>
          <w:szCs w:val="32"/>
          <w:highlight w:val="none"/>
          <w:u w:val="none"/>
          <w:shd w:val="clear"/>
          <w:lang w:val="en-US" w:eastAsia="zh-CN" w:bidi="ar"/>
        </w:rPr>
        <w:t>，</w:t>
      </w:r>
      <w:r>
        <w:rPr>
          <w:rStyle w:val="12"/>
          <w:rFonts w:hint="default" w:ascii="Times New Roman" w:hAnsi="Times New Roman" w:eastAsia="仿宋_GB2312" w:cs="仿宋_GB2312"/>
          <w:b w:val="0"/>
          <w:bCs w:val="0"/>
          <w:i w:val="0"/>
          <w:caps w:val="0"/>
          <w:color w:val="auto"/>
          <w:spacing w:val="6"/>
          <w:w w:val="100"/>
          <w:kern w:val="0"/>
          <w:sz w:val="32"/>
          <w:szCs w:val="32"/>
          <w:highlight w:val="none"/>
          <w:u w:val="none"/>
          <w:shd w:val="clear"/>
          <w:lang w:val="en-US" w:eastAsia="zh-CN" w:bidi="ar"/>
        </w:rPr>
        <w:t>未签订书面补充协议；未依《工程建设项目施工合同管理办法》第十六条办理工期顺延备案手续。</w:t>
      </w:r>
    </w:p>
    <w:p>
      <w:pPr>
        <w:pStyle w:val="15"/>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Times New Roman" w:hAnsi="Times New Roman" w:eastAsia="仿宋_GB2312" w:cs="Times New Roman"/>
          <w:b/>
          <w:bCs/>
          <w:color w:val="000000"/>
          <w:kern w:val="0"/>
          <w:sz w:val="32"/>
          <w:szCs w:val="32"/>
          <w:highlight w:val="none"/>
          <w:u w:val="none"/>
          <w:shd w:val="clear" w:color="auto" w:fill="auto"/>
          <w:lang w:val="en-US" w:eastAsia="zh-CN" w:bidi="ar"/>
        </w:rPr>
      </w:pPr>
      <w:r>
        <w:rPr>
          <w:rFonts w:hint="eastAsia" w:ascii="Times New Roman" w:hAnsi="Times New Roman" w:eastAsia="仿宋_GB2312" w:cs="Times New Roman"/>
          <w:b/>
          <w:bCs/>
          <w:color w:val="000000"/>
          <w:kern w:val="0"/>
          <w:sz w:val="32"/>
          <w:szCs w:val="32"/>
          <w:highlight w:val="none"/>
          <w:u w:val="none"/>
          <w:shd w:val="clear" w:color="auto" w:fill="auto"/>
          <w:lang w:val="en-US" w:eastAsia="zh-CN" w:bidi="ar"/>
        </w:rPr>
        <w:t>2.</w:t>
      </w:r>
      <w:r>
        <w:rPr>
          <w:rFonts w:hint="default" w:ascii="Times New Roman" w:hAnsi="Times New Roman" w:eastAsia="仿宋_GB2312" w:cs="Times New Roman"/>
          <w:b/>
          <w:bCs/>
          <w:color w:val="000000"/>
          <w:kern w:val="0"/>
          <w:sz w:val="32"/>
          <w:szCs w:val="32"/>
          <w:highlight w:val="none"/>
          <w:u w:val="none"/>
          <w:shd w:val="clear" w:color="auto" w:fill="auto"/>
          <w:lang w:val="en-US" w:eastAsia="zh-CN" w:bidi="ar"/>
        </w:rPr>
        <w:t>关键过程文件存在系统性规范缺陷</w:t>
      </w:r>
    </w:p>
    <w:p>
      <w:pPr>
        <w:pStyle w:val="15"/>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after="0" w:line="560" w:lineRule="exact"/>
        <w:ind w:left="0" w:leftChars="0" w:right="0" w:rightChars="0" w:firstLine="664" w:firstLineChars="200"/>
        <w:jc w:val="both"/>
        <w:textAlignment w:val="auto"/>
        <w:outlineLvl w:val="9"/>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pPr>
      <w:r>
        <w:rPr>
          <w:rStyle w:val="12"/>
          <w:rFonts w:hint="default"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t>通过单位提供的资料发现第二次工程量确认单缺失监理工程师签署日期、报告单、工程进度付款证书未记载建设单位审批生效日期、工程进度付款审核汇总表缺少造价工程师签章及时间戳</w:t>
      </w:r>
      <w:r>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t>。</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67" w:firstLineChars="200"/>
        <w:jc w:val="both"/>
        <w:textAlignment w:val="auto"/>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t>3.项目前期准备工作不足</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64" w:firstLineChars="200"/>
        <w:jc w:val="both"/>
        <w:textAlignment w:val="auto"/>
        <w:rPr>
          <w:rStyle w:val="12"/>
          <w:rFonts w:hint="default" w:ascii="Times New Roman" w:hAnsi="Times New Roman" w:eastAsia="仿宋_GB2312" w:cs="仿宋_GB2312"/>
          <w:b w:val="0"/>
          <w:i w:val="0"/>
          <w:caps w:val="0"/>
          <w:color w:val="auto"/>
          <w:spacing w:val="6"/>
          <w:w w:val="100"/>
          <w:kern w:val="0"/>
          <w:sz w:val="32"/>
          <w:szCs w:val="32"/>
          <w:highlight w:val="none"/>
          <w:u w:val="none"/>
          <w:shd w:val="clear" w:color="auto" w:fill="auto"/>
          <w:lang w:val="en-US" w:eastAsia="zh-CN" w:bidi="ar"/>
        </w:rPr>
      </w:pPr>
      <w:r>
        <w:rPr>
          <w:rStyle w:val="12"/>
          <w:rFonts w:hint="default" w:ascii="Times New Roman" w:hAnsi="Times New Roman" w:eastAsia="仿宋_GB2312" w:cs="仿宋_GB2312"/>
          <w:b w:val="0"/>
          <w:i w:val="0"/>
          <w:caps w:val="0"/>
          <w:color w:val="auto"/>
          <w:spacing w:val="6"/>
          <w:w w:val="100"/>
          <w:kern w:val="0"/>
          <w:sz w:val="32"/>
          <w:szCs w:val="32"/>
          <w:highlight w:val="none"/>
          <w:u w:val="none"/>
          <w:shd w:val="clear" w:color="auto" w:fill="auto"/>
          <w:lang w:val="en-US" w:eastAsia="zh-CN" w:bidi="ar"/>
        </w:rPr>
        <w:t>项目前期工作环节较多，各环节均需要编制报告和审批，在初步设计概算编制报告，吐鲁番市发展和改革委员会《关于吐鲁番市公共体育场(标准田径跑道和足球场)建设项目可行性研究报告(代项目建议书和初步设计)的批复报告》</w:t>
      </w:r>
      <w:bookmarkStart w:id="7" w:name="_GoBack"/>
      <w:bookmarkEnd w:id="7"/>
      <w:r>
        <w:rPr>
          <w:rStyle w:val="12"/>
          <w:rFonts w:hint="default" w:ascii="Times New Roman" w:hAnsi="Times New Roman" w:eastAsia="仿宋_GB2312" w:cs="仿宋_GB2312"/>
          <w:b w:val="0"/>
          <w:i w:val="0"/>
          <w:caps w:val="0"/>
          <w:color w:val="auto"/>
          <w:spacing w:val="6"/>
          <w:w w:val="100"/>
          <w:kern w:val="0"/>
          <w:sz w:val="32"/>
          <w:szCs w:val="32"/>
          <w:highlight w:val="none"/>
          <w:u w:val="none"/>
          <w:shd w:val="clear" w:color="auto" w:fill="auto"/>
          <w:lang w:val="en-US" w:eastAsia="zh-CN" w:bidi="ar"/>
        </w:rPr>
        <w:t>文件批复等报批过程中，要严格按照涉及部门行业规定执行，审批时间长，因此导致项目前期手续办理进度较慢，耗时较长。项目施工日期为2024年11月5日，相对较晚，且未能充分考虑冬季天气对施工的影响因素，这直接导致了无法在既定的施工期内顺利完成施工任务。由于前期规划的不充分等一系列连锁反应，进一步加剧了项目进度的滞后。这些问题不仅增加了项目施工期限，对项目的最终交付时间产生不利影响</w:t>
      </w:r>
      <w:r>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color="auto" w:fill="auto"/>
          <w:lang w:val="en-US" w:eastAsia="zh-CN" w:bidi="ar"/>
        </w:rPr>
        <w:t>。</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（三）建议和改进措施</w:t>
      </w:r>
    </w:p>
    <w:p>
      <w:pPr>
        <w:pStyle w:val="15"/>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67" w:firstLineChars="200"/>
        <w:jc w:val="both"/>
        <w:textAlignment w:val="auto"/>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t>1.建议根据合同约定及相关法规办理相关手续</w:t>
      </w:r>
    </w:p>
    <w:p>
      <w:pPr>
        <w:pStyle w:val="15"/>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64" w:firstLineChars="200"/>
        <w:jc w:val="both"/>
        <w:textAlignment w:val="auto"/>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t>建议预算单位要及时提交书面延期申请并签订补充协议。所有沟通需通过书面文件，避免口头约定。应启动《工期顺延协议》缔约程序，需包含：相关管理单位提供不可抗力证明文件；监理单位出具的《工期影响评估报告》。</w:t>
      </w:r>
    </w:p>
    <w:p>
      <w:pPr>
        <w:pStyle w:val="15"/>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67" w:firstLineChars="200"/>
        <w:jc w:val="both"/>
        <w:textAlignment w:val="auto"/>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t>2.建议重视并及时修正完善流程</w:t>
      </w:r>
    </w:p>
    <w:p>
      <w:pPr>
        <w:pStyle w:val="15"/>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64" w:firstLineChars="200"/>
        <w:jc w:val="both"/>
        <w:textAlignment w:val="auto"/>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t>建议完整填写日期并加盖签章，以保障法律效力、财务透明度及工程管理的精确性，从而有效规避管理、财务或法律方面的潜在风险。同时，这也将促进工作流程的顺畅进行，提高工作效率，确保各项事务的有序开展。请务必重视这一环节，严格遵守相关规定，以免给项目进展带来不必要的麻烦和损失。此外，完整的日期签章记录还有助于建立可追溯性，一旦出现问题，能够迅速定位责任主体，及时采取措施进行纠正。这不仅是对工作负责的表现，也是对单位的有力保障。因此，认真对待每一份文件的日期填写与签章工作，确保万无一失。</w:t>
      </w:r>
    </w:p>
    <w:p>
      <w:pPr>
        <w:pStyle w:val="15"/>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67" w:firstLineChars="200"/>
        <w:jc w:val="both"/>
        <w:textAlignment w:val="auto"/>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bCs/>
          <w:i w:val="0"/>
          <w:caps w:val="0"/>
          <w:color w:val="auto"/>
          <w:spacing w:val="6"/>
          <w:w w:val="100"/>
          <w:kern w:val="0"/>
          <w:sz w:val="32"/>
          <w:szCs w:val="32"/>
          <w:highlight w:val="none"/>
          <w:u w:val="none"/>
          <w:shd w:val="clear"/>
          <w:lang w:val="en-US" w:eastAsia="zh-CN" w:bidi="ar"/>
        </w:rPr>
        <w:t>3.加强项目管理的前瞻性和执行力</w:t>
      </w:r>
    </w:p>
    <w:p>
      <w:pPr>
        <w:pStyle w:val="15"/>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64" w:firstLineChars="200"/>
        <w:jc w:val="both"/>
        <w:textAlignment w:val="auto"/>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t>首先，针对前期手续办理进度缓慢的问题，应当加强与相关审批部门的沟通协调，优化审批流程，争取缩短审批周期。同时组织专人跟进审批进度，确保每个环节都能高效推进。</w:t>
      </w:r>
    </w:p>
    <w:p>
      <w:pPr>
        <w:pStyle w:val="15"/>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64" w:firstLineChars="200"/>
        <w:jc w:val="both"/>
        <w:textAlignment w:val="auto"/>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pPr>
      <w:r>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t>其次，针对施工日期较晚及冬季施工难题，应合理调整施工计划，充分利用有限的时间窗口，加快施工进度。</w:t>
      </w:r>
    </w:p>
    <w:p>
      <w:pPr>
        <w:tabs>
          <w:tab w:val="left" w:pos="766"/>
        </w:tabs>
        <w:rPr>
          <w:rFonts w:hint="eastAsia" w:ascii="Times New Roman" w:hAnsi="Times New Roman"/>
          <w:lang w:val="en-US" w:eastAsia="zh-CN"/>
        </w:rPr>
      </w:pPr>
      <w:r>
        <w:rPr>
          <w:rStyle w:val="12"/>
          <w:rFonts w:hint="eastAsia" w:ascii="Times New Roman" w:hAnsi="Times New Roman" w:eastAsia="仿宋_GB2312" w:cs="仿宋_GB2312"/>
          <w:b w:val="0"/>
          <w:i w:val="0"/>
          <w:caps w:val="0"/>
          <w:color w:val="auto"/>
          <w:spacing w:val="6"/>
          <w:w w:val="100"/>
          <w:kern w:val="0"/>
          <w:sz w:val="32"/>
          <w:szCs w:val="32"/>
          <w:highlight w:val="none"/>
          <w:u w:val="none"/>
          <w:shd w:val="clear"/>
          <w:lang w:val="en-US" w:eastAsia="zh-CN" w:bidi="ar"/>
        </w:rPr>
        <w:t>最后，应密切关注项目进展，及时发现并解决潜在问题。通过建立有效的监控机制和应急预案，确保项目在面临突发情况时能够迅速响应，降低风险对项目进度的影响。全力保障项目能够按时、高质量地完成。</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5A30A3-6E10-402E-A363-27BC5DEC0F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D8D1B5B-5833-445E-B19A-1F90AA7AFA03}"/>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69819C9B-6960-4A1D-A6AA-2C9BCC704536}"/>
  </w:font>
  <w:font w:name="隶书">
    <w:panose1 w:val="02010509060101010101"/>
    <w:charset w:val="86"/>
    <w:family w:val="modern"/>
    <w:pitch w:val="default"/>
    <w:sig w:usb0="00000001" w:usb1="080E0000" w:usb2="00000000" w:usb3="00000000" w:csb0="00040000" w:csb1="00000000"/>
    <w:embedRegular r:id="rId4" w:fontKey="{A9ADE980-7F7D-46B2-A84B-3AC1DA76A0B6}"/>
  </w:font>
  <w:font w:name="楷体">
    <w:panose1 w:val="02010609060101010101"/>
    <w:charset w:val="86"/>
    <w:family w:val="auto"/>
    <w:pitch w:val="default"/>
    <w:sig w:usb0="800002BF" w:usb1="38CF7CFA" w:usb2="00000016" w:usb3="00000000" w:csb0="00040001" w:csb1="00000000"/>
    <w:embedRegular r:id="rId5" w:fontKey="{2B13E948-0AF1-43F5-82E9-782A71FEC8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1"/>
      </w:pBdr>
      <w:kinsoku/>
      <w:wordWrap/>
      <w:overflowPunct/>
      <w:topLinePunct w:val="0"/>
      <w:bidi w:val="0"/>
      <w:adjustRightInd/>
      <w:snapToGrid w:val="0"/>
      <w:spacing w:after="0" w:line="300" w:lineRule="exact"/>
      <w:ind w:firstLine="840" w:firstLineChars="400"/>
      <w:jc w:val="left"/>
      <w:textAlignment w:val="auto"/>
      <w:outlineLvl w:val="9"/>
      <w:rPr>
        <w:rFonts w:hint="eastAsia" w:ascii="Times New Roman" w:hAnsi="Times New Roman" w:eastAsia="宋体"/>
        <w:b w:val="0"/>
        <w:bCs w:val="0"/>
        <w:sz w:val="21"/>
        <w:szCs w:val="21"/>
      </w:rPr>
    </w:pPr>
    <w:r>
      <w:rPr>
        <w:rFonts w:hint="eastAsia" w:ascii="隶书" w:hAnsi="宋体"/>
        <w:b w:val="0"/>
        <w:bCs w:val="0"/>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-15875</wp:posOffset>
          </wp:positionV>
          <wp:extent cx="422910" cy="385445"/>
          <wp:effectExtent l="0" t="0" r="3810" b="10795"/>
          <wp:wrapSquare wrapText="bothSides"/>
          <wp:docPr id="2" name="图片 2"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讯小图标"/>
                  <pic:cNvPicPr>
                    <a:picLocks noChangeAspect="1"/>
                  </pic:cNvPicPr>
                </pic:nvPicPr>
                <pic:blipFill>
                  <a:blip r:embed="rId1"/>
                  <a:stretch>
                    <a:fillRect/>
                  </a:stretch>
                </pic:blipFill>
                <pic:spPr>
                  <a:xfrm>
                    <a:off x="0" y="0"/>
                    <a:ext cx="422910" cy="385445"/>
                  </a:xfrm>
                  <a:prstGeom prst="rect">
                    <a:avLst/>
                  </a:prstGeom>
                </pic:spPr>
              </pic:pic>
            </a:graphicData>
          </a:graphic>
        </wp:anchor>
      </w:drawing>
    </w:r>
    <w:r>
      <w:rPr>
        <w:rFonts w:hint="eastAsia" w:ascii="Times New Roman" w:hAnsi="Times New Roman"/>
        <w:b w:val="0"/>
        <w:bCs w:val="0"/>
        <w:sz w:val="21"/>
        <w:szCs w:val="21"/>
      </w:rPr>
      <w:t>新</w:t>
    </w:r>
    <w:r>
      <w:rPr>
        <w:rFonts w:hint="eastAsia" w:ascii="Times New Roman" w:hAnsi="Times New Roman" w:eastAsia="宋体"/>
        <w:b w:val="0"/>
        <w:bCs w:val="0"/>
        <w:sz w:val="21"/>
        <w:szCs w:val="21"/>
      </w:rPr>
      <w:t>疆</w:t>
    </w:r>
    <w:r>
      <w:rPr>
        <w:rFonts w:hint="eastAsia" w:ascii="Times New Roman" w:hAnsi="Times New Roman" w:eastAsia="宋体"/>
        <w:b w:val="0"/>
        <w:bCs w:val="0"/>
        <w:sz w:val="21"/>
        <w:szCs w:val="21"/>
        <w:lang w:val="en-US" w:eastAsia="zh-CN"/>
      </w:rPr>
      <w:t>财讯睿智信息咨询</w:t>
    </w:r>
    <w:r>
      <w:rPr>
        <w:rFonts w:hint="eastAsia" w:ascii="Times New Roman" w:hAnsi="Times New Roman" w:eastAsia="宋体"/>
        <w:b w:val="0"/>
        <w:bCs w:val="0"/>
        <w:sz w:val="21"/>
        <w:szCs w:val="21"/>
      </w:rPr>
      <w:t>有限</w:t>
    </w:r>
    <w:r>
      <w:rPr>
        <w:rFonts w:hint="eastAsia" w:ascii="Times New Roman" w:hAnsi="Times New Roman" w:eastAsia="宋体"/>
        <w:b w:val="0"/>
        <w:bCs w:val="0"/>
        <w:sz w:val="21"/>
        <w:szCs w:val="21"/>
        <w:lang w:val="en-US" w:eastAsia="zh-CN"/>
      </w:rPr>
      <w:t>公司</w:t>
    </w:r>
    <w:r>
      <w:rPr>
        <w:rFonts w:hint="eastAsia" w:ascii="Times New Roman" w:hAnsi="Times New Roman" w:eastAsia="宋体"/>
        <w:b w:val="0"/>
        <w:bCs w:val="0"/>
        <w:sz w:val="21"/>
        <w:szCs w:val="21"/>
      </w:rPr>
      <w:t xml:space="preserve">     </w:t>
    </w:r>
  </w:p>
  <w:p>
    <w:pPr>
      <w:pStyle w:val="6"/>
      <w:keepNext w:val="0"/>
      <w:keepLines w:val="0"/>
      <w:pageBreakBefore w:val="0"/>
      <w:widowControl w:val="0"/>
      <w:pBdr>
        <w:bottom w:val="single" w:color="auto" w:sz="4" w:space="1"/>
      </w:pBdr>
      <w:kinsoku/>
      <w:wordWrap/>
      <w:overflowPunct/>
      <w:topLinePunct w:val="0"/>
      <w:bidi w:val="0"/>
      <w:adjustRightInd/>
      <w:snapToGrid w:val="0"/>
      <w:spacing w:after="0" w:line="300" w:lineRule="exact"/>
      <w:ind w:firstLine="840" w:firstLineChars="400"/>
      <w:jc w:val="left"/>
      <w:textAlignment w:val="auto"/>
      <w:outlineLvl w:val="9"/>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injiang Cai</w:t>
    </w: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un Ruizhi Information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E1F9C"/>
    <w:multiLevelType w:val="singleLevel"/>
    <w:tmpl w:val="88EE1F9C"/>
    <w:lvl w:ilvl="0" w:tentative="0">
      <w:start w:val="1"/>
      <w:numFmt w:val="chineseCounting"/>
      <w:suff w:val="nothing"/>
      <w:lvlText w:val="（%1）"/>
      <w:lvlJc w:val="left"/>
      <w:rPr>
        <w:rFonts w:hint="eastAsia"/>
      </w:rPr>
    </w:lvl>
  </w:abstractNum>
  <w:abstractNum w:abstractNumId="1">
    <w:nsid w:val="71D1758D"/>
    <w:multiLevelType w:val="singleLevel"/>
    <w:tmpl w:val="71D1758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087167F"/>
    <w:rsid w:val="00A26066"/>
    <w:rsid w:val="01141165"/>
    <w:rsid w:val="01F32976"/>
    <w:rsid w:val="030C19A7"/>
    <w:rsid w:val="031F3DF1"/>
    <w:rsid w:val="035C5045"/>
    <w:rsid w:val="041A1188"/>
    <w:rsid w:val="046749DD"/>
    <w:rsid w:val="04E6106A"/>
    <w:rsid w:val="051F457C"/>
    <w:rsid w:val="0559183C"/>
    <w:rsid w:val="055D636D"/>
    <w:rsid w:val="05602E4F"/>
    <w:rsid w:val="07E06245"/>
    <w:rsid w:val="08D4742C"/>
    <w:rsid w:val="0966299D"/>
    <w:rsid w:val="09C6146A"/>
    <w:rsid w:val="09CB082F"/>
    <w:rsid w:val="0AC51722"/>
    <w:rsid w:val="0BC1013B"/>
    <w:rsid w:val="0CC31512"/>
    <w:rsid w:val="0D7B505C"/>
    <w:rsid w:val="0DB02216"/>
    <w:rsid w:val="0DF04D08"/>
    <w:rsid w:val="0EB67E65"/>
    <w:rsid w:val="0F735BF1"/>
    <w:rsid w:val="0F962004"/>
    <w:rsid w:val="0FB029A1"/>
    <w:rsid w:val="107A4C82"/>
    <w:rsid w:val="11655F9D"/>
    <w:rsid w:val="11C40824"/>
    <w:rsid w:val="121B66F1"/>
    <w:rsid w:val="121B7B29"/>
    <w:rsid w:val="12C86253"/>
    <w:rsid w:val="14260760"/>
    <w:rsid w:val="14292D22"/>
    <w:rsid w:val="146C66FE"/>
    <w:rsid w:val="14905C06"/>
    <w:rsid w:val="150523DC"/>
    <w:rsid w:val="15AB60E4"/>
    <w:rsid w:val="15C745A0"/>
    <w:rsid w:val="161466D7"/>
    <w:rsid w:val="16161084"/>
    <w:rsid w:val="177E15D6"/>
    <w:rsid w:val="17B875AB"/>
    <w:rsid w:val="18573340"/>
    <w:rsid w:val="1876405C"/>
    <w:rsid w:val="1B2304CB"/>
    <w:rsid w:val="1B854CE1"/>
    <w:rsid w:val="1BEE36D9"/>
    <w:rsid w:val="1C5172BA"/>
    <w:rsid w:val="1CBD66FD"/>
    <w:rsid w:val="1E380731"/>
    <w:rsid w:val="1E66022B"/>
    <w:rsid w:val="1E6B7AB4"/>
    <w:rsid w:val="1E733517"/>
    <w:rsid w:val="1E8F7C25"/>
    <w:rsid w:val="1F714784"/>
    <w:rsid w:val="1F933745"/>
    <w:rsid w:val="1FD46237"/>
    <w:rsid w:val="20234AC9"/>
    <w:rsid w:val="202C7E22"/>
    <w:rsid w:val="20C91B14"/>
    <w:rsid w:val="216B3921"/>
    <w:rsid w:val="21FE134A"/>
    <w:rsid w:val="22112E1F"/>
    <w:rsid w:val="23405992"/>
    <w:rsid w:val="238B4E5F"/>
    <w:rsid w:val="23D327FA"/>
    <w:rsid w:val="24194900"/>
    <w:rsid w:val="2536704D"/>
    <w:rsid w:val="26674263"/>
    <w:rsid w:val="26E86A6C"/>
    <w:rsid w:val="27287FA1"/>
    <w:rsid w:val="284D23F2"/>
    <w:rsid w:val="28893937"/>
    <w:rsid w:val="28C67B24"/>
    <w:rsid w:val="2A273408"/>
    <w:rsid w:val="2A59392D"/>
    <w:rsid w:val="2A6D3510"/>
    <w:rsid w:val="2AA74591"/>
    <w:rsid w:val="2C387D16"/>
    <w:rsid w:val="2C5D1363"/>
    <w:rsid w:val="2CF37A4F"/>
    <w:rsid w:val="2DA336ED"/>
    <w:rsid w:val="2DD90EBD"/>
    <w:rsid w:val="2DF53F49"/>
    <w:rsid w:val="2E3B0847"/>
    <w:rsid w:val="2F324D29"/>
    <w:rsid w:val="2F4A2E19"/>
    <w:rsid w:val="2F566C69"/>
    <w:rsid w:val="2FC71915"/>
    <w:rsid w:val="2FE204FD"/>
    <w:rsid w:val="307373A7"/>
    <w:rsid w:val="30CD2F5B"/>
    <w:rsid w:val="310149B3"/>
    <w:rsid w:val="338A1BBE"/>
    <w:rsid w:val="34DF2F1B"/>
    <w:rsid w:val="353F5AA9"/>
    <w:rsid w:val="354013A3"/>
    <w:rsid w:val="37A14BDC"/>
    <w:rsid w:val="390037A2"/>
    <w:rsid w:val="397D4DF2"/>
    <w:rsid w:val="3AE25855"/>
    <w:rsid w:val="3AED34FB"/>
    <w:rsid w:val="3B624143"/>
    <w:rsid w:val="3B7F4E52"/>
    <w:rsid w:val="3BAA5C47"/>
    <w:rsid w:val="3C1732DC"/>
    <w:rsid w:val="3C6227CC"/>
    <w:rsid w:val="3C726653"/>
    <w:rsid w:val="3C8F1D62"/>
    <w:rsid w:val="3C8F37BA"/>
    <w:rsid w:val="3D127F47"/>
    <w:rsid w:val="3E46434D"/>
    <w:rsid w:val="3ED6747E"/>
    <w:rsid w:val="3EEB6BD9"/>
    <w:rsid w:val="3F161F71"/>
    <w:rsid w:val="3F4A5777"/>
    <w:rsid w:val="3F7E5908"/>
    <w:rsid w:val="40416B7A"/>
    <w:rsid w:val="40CB6D8B"/>
    <w:rsid w:val="42254279"/>
    <w:rsid w:val="428E62C2"/>
    <w:rsid w:val="436C3DB3"/>
    <w:rsid w:val="43B92ECB"/>
    <w:rsid w:val="44627834"/>
    <w:rsid w:val="44B738AE"/>
    <w:rsid w:val="44D4154B"/>
    <w:rsid w:val="44E1092B"/>
    <w:rsid w:val="45140D01"/>
    <w:rsid w:val="45344EFF"/>
    <w:rsid w:val="45F2612A"/>
    <w:rsid w:val="46146ADE"/>
    <w:rsid w:val="46BB51AC"/>
    <w:rsid w:val="478E217A"/>
    <w:rsid w:val="480C5CBF"/>
    <w:rsid w:val="48853CC3"/>
    <w:rsid w:val="48BC6E07"/>
    <w:rsid w:val="49282FCC"/>
    <w:rsid w:val="49890768"/>
    <w:rsid w:val="49AB59AC"/>
    <w:rsid w:val="4A235542"/>
    <w:rsid w:val="4AB436A4"/>
    <w:rsid w:val="4AF56EDE"/>
    <w:rsid w:val="4B511D1D"/>
    <w:rsid w:val="4B6C4CC7"/>
    <w:rsid w:val="4BE60F1D"/>
    <w:rsid w:val="4BF90C50"/>
    <w:rsid w:val="4C9C2831"/>
    <w:rsid w:val="4E17716C"/>
    <w:rsid w:val="4E724CEA"/>
    <w:rsid w:val="4F365D17"/>
    <w:rsid w:val="5037387C"/>
    <w:rsid w:val="504C2DF0"/>
    <w:rsid w:val="51875CD1"/>
    <w:rsid w:val="518C1C1F"/>
    <w:rsid w:val="52081BED"/>
    <w:rsid w:val="52236EFF"/>
    <w:rsid w:val="536901F9"/>
    <w:rsid w:val="53AC0356"/>
    <w:rsid w:val="53D1600F"/>
    <w:rsid w:val="53D63625"/>
    <w:rsid w:val="53F35F85"/>
    <w:rsid w:val="54E63D3C"/>
    <w:rsid w:val="557E3F74"/>
    <w:rsid w:val="559B4B26"/>
    <w:rsid w:val="55E60E8B"/>
    <w:rsid w:val="55EE10FA"/>
    <w:rsid w:val="56002BDB"/>
    <w:rsid w:val="565828B0"/>
    <w:rsid w:val="569D2BDC"/>
    <w:rsid w:val="577109C8"/>
    <w:rsid w:val="5774562F"/>
    <w:rsid w:val="578A30A4"/>
    <w:rsid w:val="582901C7"/>
    <w:rsid w:val="58597148"/>
    <w:rsid w:val="58B24629"/>
    <w:rsid w:val="58B843A5"/>
    <w:rsid w:val="593A6404"/>
    <w:rsid w:val="59520D8D"/>
    <w:rsid w:val="595C281E"/>
    <w:rsid w:val="5991071A"/>
    <w:rsid w:val="5A7F0572"/>
    <w:rsid w:val="5A875D41"/>
    <w:rsid w:val="5B0A0E97"/>
    <w:rsid w:val="5B3D3F8A"/>
    <w:rsid w:val="5B7E242B"/>
    <w:rsid w:val="5BEF1728"/>
    <w:rsid w:val="5CAE513F"/>
    <w:rsid w:val="5CE352CB"/>
    <w:rsid w:val="5D0E2082"/>
    <w:rsid w:val="5D170F36"/>
    <w:rsid w:val="5D8646F8"/>
    <w:rsid w:val="5E055233"/>
    <w:rsid w:val="5E1436C8"/>
    <w:rsid w:val="5E473A9D"/>
    <w:rsid w:val="5EA44A4C"/>
    <w:rsid w:val="5FB80713"/>
    <w:rsid w:val="603B318E"/>
    <w:rsid w:val="60D34F34"/>
    <w:rsid w:val="617F52FC"/>
    <w:rsid w:val="61880654"/>
    <w:rsid w:val="618B3CA1"/>
    <w:rsid w:val="623954AB"/>
    <w:rsid w:val="62FA10DE"/>
    <w:rsid w:val="63043D0B"/>
    <w:rsid w:val="633F2F95"/>
    <w:rsid w:val="63546C2C"/>
    <w:rsid w:val="63A948B2"/>
    <w:rsid w:val="63CE44AC"/>
    <w:rsid w:val="64CC2606"/>
    <w:rsid w:val="651162CA"/>
    <w:rsid w:val="65646CE3"/>
    <w:rsid w:val="65705687"/>
    <w:rsid w:val="65AD68DC"/>
    <w:rsid w:val="662E3B56"/>
    <w:rsid w:val="66F26570"/>
    <w:rsid w:val="6760172C"/>
    <w:rsid w:val="684150B9"/>
    <w:rsid w:val="68490412"/>
    <w:rsid w:val="68C02A57"/>
    <w:rsid w:val="68E1064A"/>
    <w:rsid w:val="69267928"/>
    <w:rsid w:val="696C085C"/>
    <w:rsid w:val="6A1A62FE"/>
    <w:rsid w:val="6A1B17E0"/>
    <w:rsid w:val="6A682DD1"/>
    <w:rsid w:val="6AED1528"/>
    <w:rsid w:val="6B8D0D5A"/>
    <w:rsid w:val="6C1C0317"/>
    <w:rsid w:val="6C5A2BED"/>
    <w:rsid w:val="6C6E6699"/>
    <w:rsid w:val="6C853FCC"/>
    <w:rsid w:val="6CA200F0"/>
    <w:rsid w:val="6D2C131D"/>
    <w:rsid w:val="6D4A1913"/>
    <w:rsid w:val="6D530F64"/>
    <w:rsid w:val="6DE36C13"/>
    <w:rsid w:val="6E3F653F"/>
    <w:rsid w:val="6E697C6D"/>
    <w:rsid w:val="6E72228A"/>
    <w:rsid w:val="6ED521B6"/>
    <w:rsid w:val="6F0137F4"/>
    <w:rsid w:val="6FEF7AF1"/>
    <w:rsid w:val="70035E4A"/>
    <w:rsid w:val="704936A5"/>
    <w:rsid w:val="707D50FC"/>
    <w:rsid w:val="70EC5DDE"/>
    <w:rsid w:val="71233EF6"/>
    <w:rsid w:val="717A6E11"/>
    <w:rsid w:val="717B5AE0"/>
    <w:rsid w:val="72395053"/>
    <w:rsid w:val="72D82ABE"/>
    <w:rsid w:val="73C44DF0"/>
    <w:rsid w:val="7506180B"/>
    <w:rsid w:val="751B4A79"/>
    <w:rsid w:val="75B41E52"/>
    <w:rsid w:val="772207AC"/>
    <w:rsid w:val="776F6D71"/>
    <w:rsid w:val="777D3C34"/>
    <w:rsid w:val="77D71596"/>
    <w:rsid w:val="798662DF"/>
    <w:rsid w:val="79E409FD"/>
    <w:rsid w:val="7A5C0769"/>
    <w:rsid w:val="7AC676A0"/>
    <w:rsid w:val="7AC758F2"/>
    <w:rsid w:val="7B452CBB"/>
    <w:rsid w:val="7C224C44"/>
    <w:rsid w:val="7CA37C99"/>
    <w:rsid w:val="7CDE2C92"/>
    <w:rsid w:val="7D5D3000"/>
    <w:rsid w:val="7DA0067C"/>
    <w:rsid w:val="7DC73E5B"/>
    <w:rsid w:val="7DE0510C"/>
    <w:rsid w:val="7E401B17"/>
    <w:rsid w:val="7EC1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jc w:val="left"/>
    </w:pPr>
    <w:rPr>
      <w:rFonts w:ascii="Calibri" w:hAnsi="Calibri" w:eastAsia="宋体" w:cs="Times New Roman"/>
      <w:kern w:val="0"/>
      <w:sz w:val="24"/>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3">
    <w:name w:val="Strong"/>
    <w:basedOn w:val="12"/>
    <w:qFormat/>
    <w:uiPriority w:val="0"/>
    <w:rPr>
      <w:b/>
    </w:rPr>
  </w:style>
  <w:style w:type="character" w:customStyle="1" w:styleId="14">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15">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6">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7">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8">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19">
    <w:name w:val="列出段落1"/>
    <w:basedOn w:val="1"/>
    <w:qFormat/>
    <w:uiPriority w:val="0"/>
    <w:pPr>
      <w:ind w:firstLine="420" w:firstLineChars="200"/>
    </w:pPr>
  </w:style>
  <w:style w:type="character" w:customStyle="1" w:styleId="20">
    <w:name w:val="font41"/>
    <w:basedOn w:val="12"/>
    <w:qFormat/>
    <w:uiPriority w:val="0"/>
    <w:rPr>
      <w:rFonts w:hint="default" w:ascii="Times New Roman" w:hAnsi="Times New Roman" w:cs="Times New Roman"/>
      <w:color w:val="000000"/>
      <w:sz w:val="22"/>
      <w:szCs w:val="22"/>
      <w:u w:val="none"/>
    </w:rPr>
  </w:style>
  <w:style w:type="character" w:customStyle="1" w:styleId="21">
    <w:name w:val="font31"/>
    <w:basedOn w:val="12"/>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4239</Words>
  <Characters>4440</Characters>
  <Lines>0</Lines>
  <Paragraphs>0</Paragraphs>
  <TotalTime>8</TotalTime>
  <ScaleCrop>false</ScaleCrop>
  <LinksUpToDate>false</LinksUpToDate>
  <CharactersWithSpaces>4442</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Administrator</cp:lastModifiedBy>
  <cp:lastPrinted>2023-07-05T09:41:00Z</cp:lastPrinted>
  <dcterms:modified xsi:type="dcterms:W3CDTF">2025-11-25T10:21:40Z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FD64340C701741D98FF07615CA7561A3_11</vt:lpwstr>
  </property>
  <property fmtid="{D5CDD505-2E9C-101B-9397-08002B2CF9AE}" pid="4" name="KSOTemplateDocerSaveRecord">
    <vt:lpwstr>eyJoZGlkIjoiMzU2YWNjYWM0ZjQzNTYwYzEyN2VlYjEyOTY5OGUxZDciLCJ1c2VySWQiOiIxNTUxMTYxNjMwIn0=</vt:lpwstr>
  </property>
</Properties>
</file>