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default" w:ascii="Times New Roman" w:hAnsi="Times New Roman" w:eastAsia="黑体" w:cs="Times New Roman"/>
          <w:b/>
          <w:bCs/>
          <w:color w:val="auto"/>
          <w:sz w:val="52"/>
          <w:szCs w:val="52"/>
          <w:highlight w:val="none"/>
          <w:lang w:val="en-US" w:eastAsia="zh-CN"/>
        </w:rPr>
      </w:pPr>
    </w:p>
    <w:p>
      <w:pPr>
        <w:jc w:val="center"/>
        <w:outlineLvl w:val="9"/>
        <w:rPr>
          <w:rFonts w:hint="default" w:ascii="Times New Roman" w:hAnsi="Times New Roman" w:eastAsia="黑体" w:cs="Times New Roman"/>
          <w:b/>
          <w:bCs/>
          <w:color w:val="auto"/>
          <w:sz w:val="52"/>
          <w:szCs w:val="52"/>
          <w:highlight w:val="none"/>
          <w:lang w:val="en-US" w:eastAsia="zh-CN"/>
        </w:rPr>
      </w:pPr>
    </w:p>
    <w:p>
      <w:pPr>
        <w:jc w:val="center"/>
        <w:outlineLvl w:val="9"/>
        <w:rPr>
          <w:rFonts w:hint="default" w:ascii="Times New Roman" w:hAnsi="Times New Roman" w:eastAsia="黑体" w:cs="Times New Roman"/>
          <w:b/>
          <w:bCs/>
          <w:color w:val="auto"/>
          <w:sz w:val="52"/>
          <w:szCs w:val="52"/>
          <w:highlight w:val="none"/>
          <w:lang w:val="en-US" w:eastAsia="zh-CN"/>
        </w:rPr>
      </w:pPr>
      <w:bookmarkStart w:id="0" w:name="_Toc21564"/>
      <w:r>
        <w:rPr>
          <w:rFonts w:hint="eastAsia" w:ascii="Times New Roman" w:hAnsi="Times New Roman" w:eastAsia="黑体" w:cs="Times New Roman"/>
          <w:b/>
          <w:bCs/>
          <w:color w:val="auto"/>
          <w:sz w:val="52"/>
          <w:szCs w:val="52"/>
          <w:highlight w:val="none"/>
          <w:lang w:val="en-US" w:eastAsia="zh-CN"/>
        </w:rPr>
        <w:t>吐鲁番市</w:t>
      </w:r>
      <w:r>
        <w:rPr>
          <w:rFonts w:hint="default" w:ascii="Times New Roman" w:hAnsi="Times New Roman" w:eastAsia="黑体" w:cs="Times New Roman"/>
          <w:b/>
          <w:bCs/>
          <w:color w:val="auto"/>
          <w:sz w:val="52"/>
          <w:szCs w:val="52"/>
          <w:highlight w:val="none"/>
          <w:lang w:val="en-US" w:eastAsia="zh-CN"/>
        </w:rPr>
        <w:t>20</w:t>
      </w:r>
      <w:r>
        <w:rPr>
          <w:rFonts w:hint="eastAsia" w:ascii="Times New Roman" w:hAnsi="Times New Roman" w:eastAsia="黑体" w:cs="Times New Roman"/>
          <w:b/>
          <w:bCs/>
          <w:color w:val="auto"/>
          <w:sz w:val="52"/>
          <w:szCs w:val="52"/>
          <w:highlight w:val="none"/>
          <w:lang w:val="en-US" w:eastAsia="zh-CN"/>
        </w:rPr>
        <w:t>24</w:t>
      </w:r>
      <w:r>
        <w:rPr>
          <w:rFonts w:hint="default" w:ascii="Times New Roman" w:hAnsi="Times New Roman" w:eastAsia="黑体" w:cs="Times New Roman"/>
          <w:b/>
          <w:bCs/>
          <w:color w:val="auto"/>
          <w:sz w:val="52"/>
          <w:szCs w:val="52"/>
          <w:highlight w:val="none"/>
          <w:lang w:val="en-US" w:eastAsia="zh-CN"/>
        </w:rPr>
        <w:t>年度</w:t>
      </w:r>
      <w:bookmarkEnd w:id="0"/>
    </w:p>
    <w:p>
      <w:pPr>
        <w:jc w:val="center"/>
        <w:outlineLvl w:val="9"/>
        <w:rPr>
          <w:rFonts w:hint="default" w:ascii="Times New Roman" w:hAnsi="Times New Roman" w:eastAsia="黑体" w:cs="Times New Roman"/>
          <w:b/>
          <w:bCs/>
          <w:color w:val="auto"/>
          <w:sz w:val="52"/>
          <w:szCs w:val="52"/>
          <w:highlight w:val="none"/>
          <w:lang w:val="en-US" w:eastAsia="zh-CN"/>
        </w:rPr>
      </w:pPr>
      <w:bookmarkStart w:id="1" w:name="_Toc3248"/>
      <w:r>
        <w:rPr>
          <w:rFonts w:hint="default" w:ascii="Times New Roman" w:hAnsi="Times New Roman" w:eastAsia="黑体" w:cs="Times New Roman"/>
          <w:b/>
          <w:bCs/>
          <w:color w:val="auto"/>
          <w:sz w:val="52"/>
          <w:szCs w:val="52"/>
          <w:highlight w:val="none"/>
          <w:lang w:val="en-US" w:eastAsia="zh-CN"/>
        </w:rPr>
        <w:t>预算绩效评价报告</w:t>
      </w:r>
      <w:bookmarkEnd w:id="1"/>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ind w:left="2238" w:leftChars="266" w:hanging="1600" w:hangingChars="5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项目名称：2024年吐鲁番市“转企升规”企业奖励资金</w:t>
      </w:r>
    </w:p>
    <w:p>
      <w:pPr>
        <w:ind w:left="2238" w:leftChars="266" w:hanging="1600" w:hangingChars="5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项目单位：吐鲁番市统计局、吐鲁番市交通运输局、吐鲁番市工业和信息化局、吐鲁番市商务局</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Style w:val="13"/>
          <w:rFonts w:hint="default" w:ascii="Times New Roman" w:hAnsi="Times New Roman" w:eastAsia="黑体" w:cs="Times New Roman"/>
          <w:b w:val="0"/>
          <w:i w:val="0"/>
          <w:caps w:val="0"/>
          <w:color w:val="auto"/>
          <w:spacing w:val="0"/>
          <w:w w:val="100"/>
          <w:kern w:val="0"/>
          <w:sz w:val="32"/>
          <w:szCs w:val="32"/>
          <w:highlight w:val="none"/>
          <w:lang w:val="en-US" w:eastAsia="zh-CN" w:bidi="en-US"/>
        </w:rPr>
        <w:t>主管部门：吐鲁番市统计局</w:t>
      </w:r>
    </w:p>
    <w:p>
      <w:pPr>
        <w:snapToGrid/>
        <w:spacing w:before="120" w:beforeAutospacing="0" w:after="120" w:afterAutospacing="0" w:line="360" w:lineRule="auto"/>
        <w:ind w:firstLine="640" w:firstLineChars="200"/>
        <w:jc w:val="left"/>
        <w:textAlignment w:val="baseline"/>
        <w:rPr>
          <w:rStyle w:val="13"/>
          <w:rFonts w:hint="default" w:ascii="Times New Roman" w:hAnsi="Times New Roman" w:eastAsia="黑体" w:cs="Times New Roman"/>
          <w:b w:val="0"/>
          <w:i w:val="0"/>
          <w:caps w:val="0"/>
          <w:color w:val="auto"/>
          <w:spacing w:val="0"/>
          <w:w w:val="100"/>
          <w:kern w:val="0"/>
          <w:sz w:val="32"/>
          <w:szCs w:val="32"/>
          <w:highlight w:val="none"/>
          <w:lang w:val="en-US" w:eastAsia="zh-CN" w:bidi="en-US"/>
        </w:rPr>
      </w:pPr>
      <w:r>
        <w:rPr>
          <w:rStyle w:val="13"/>
          <w:rFonts w:hint="default" w:ascii="Times New Roman" w:hAnsi="Times New Roman" w:eastAsia="黑体" w:cs="Times New Roman"/>
          <w:b w:val="0"/>
          <w:i w:val="0"/>
          <w:caps w:val="0"/>
          <w:color w:val="auto"/>
          <w:spacing w:val="0"/>
          <w:w w:val="100"/>
          <w:kern w:val="0"/>
          <w:sz w:val="32"/>
          <w:szCs w:val="32"/>
          <w:highlight w:val="none"/>
          <w:lang w:val="en-US" w:eastAsia="zh-CN" w:bidi="en-US"/>
        </w:rPr>
        <w:t>委托单位：吐鲁番市财政局</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评价机构：新疆财讯睿智信息咨询有限公司</w:t>
      </w:r>
    </w:p>
    <w:p>
      <w:pPr>
        <w:jc w:val="center"/>
        <w:rPr>
          <w:rFonts w:hint="default" w:ascii="Times New Roman" w:hAnsi="Times New Roman" w:eastAsia="黑体" w:cs="Times New Roman"/>
          <w:b w:val="0"/>
          <w:bCs w:val="0"/>
          <w:color w:val="auto"/>
          <w:sz w:val="32"/>
          <w:szCs w:val="32"/>
          <w:highlight w:val="yellow"/>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imes New Roman" w:hAnsi="Times New Roman" w:eastAsia="黑体" w:cs="Times New Roman"/>
          <w:b w:val="0"/>
          <w:bCs w:val="0"/>
          <w:color w:val="auto"/>
          <w:sz w:val="32"/>
          <w:szCs w:val="32"/>
          <w:highlight w:val="none"/>
          <w:lang w:val="en-US" w:eastAsia="zh-CN"/>
        </w:rPr>
        <w:t>2025</w:t>
      </w:r>
      <w:r>
        <w:rPr>
          <w:rFonts w:hint="default" w:ascii="Times New Roman" w:hAnsi="Times New Roman" w:eastAsia="黑体" w:cs="Times New Roman"/>
          <w:b w:val="0"/>
          <w:bCs w:val="0"/>
          <w:color w:val="auto"/>
          <w:sz w:val="32"/>
          <w:szCs w:val="32"/>
          <w:highlight w:val="none"/>
          <w:lang w:val="en-US" w:eastAsia="zh-CN"/>
        </w:rPr>
        <w:t>年</w:t>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eastAsia="zh-CN"/>
        </w:rPr>
        <w:t>月</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b w:val="0"/>
          <w:bCs w:val="0"/>
          <w:color w:val="auto"/>
          <w:kern w:val="0"/>
          <w:sz w:val="32"/>
          <w:szCs w:val="32"/>
          <w:highlight w:val="none"/>
          <w:lang w:val="en-US" w:eastAsia="zh-CN" w:bidi="en-US"/>
        </w:rPr>
      </w:pPr>
      <w:bookmarkStart w:id="2" w:name="_Toc21206"/>
      <w:r>
        <w:rPr>
          <w:rFonts w:hint="default" w:ascii="Times New Roman" w:hAnsi="Times New Roman" w:eastAsia="黑体" w:cs="Times New Roman"/>
          <w:b w:val="0"/>
          <w:bCs w:val="0"/>
          <w:color w:val="auto"/>
          <w:kern w:val="0"/>
          <w:sz w:val="32"/>
          <w:szCs w:val="32"/>
          <w:highlight w:val="none"/>
          <w:lang w:bidi="en-US"/>
        </w:rPr>
        <w:t>项目</w:t>
      </w:r>
      <w:r>
        <w:rPr>
          <w:rFonts w:hint="default" w:ascii="Times New Roman" w:hAnsi="Times New Roman" w:eastAsia="黑体" w:cs="Times New Roman"/>
          <w:b w:val="0"/>
          <w:bCs w:val="0"/>
          <w:color w:val="auto"/>
          <w:kern w:val="0"/>
          <w:sz w:val="32"/>
          <w:szCs w:val="32"/>
          <w:highlight w:val="none"/>
          <w:lang w:val="en-US" w:eastAsia="zh-CN" w:bidi="en-US"/>
        </w:rPr>
        <w:t>概述</w:t>
      </w:r>
      <w:bookmarkEnd w:id="2"/>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项目概述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国务院办公厅印发的《关于进一步激发民间有效投资活力促进经济持续健康发展的指导意见》提出，要推动产业转型升级，鼓励民营企业参与“中国制造2025”、现代农业、企业技改等重点项目，支持民间投资创新发展。而吐鲁番市设立转企升规企业奖励资金项目，正是对国家这一要求的具体落实，通过激励企业扩大规模、升级发展，助力激发民间投资活力，为当地经济持续健康发展注入动力。吐鲁番市积极响应国家和自治区关于推动经济高质量发展的政策要求，出台《关于印发吐鲁番市“转企升规”十条措施（试行）的通知》（吐政办规〔2024〕1号），鼓励企业扩大规模、规范经营，旨在大力培育壮大市场主体，加快推进“个转企、小升规”工作，激发增长内生动力，加快形成新的增长点，推动经济社会高质量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吐鲁番市“转企升规”工作实行市、区县两级分管领导分工负责制，由各行业牵头单位组织区县制定相关规划及工作方案，各行业部门分年度、分区县制定工作计划，每月调度各行业“转企升规”工作进展。2024年吐鲁番市“转企升规”企业奖励资金主要用于对完成达标入库的18家企业（包括规上工业企业、商贸企业和服务业企业）发放奖励资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eastAsia="楷体" w:cs="Times New Roman"/>
          <w:b/>
          <w:bCs/>
          <w:color w:val="auto"/>
          <w:sz w:val="32"/>
          <w:szCs w:val="32"/>
          <w:highlight w:val="none"/>
          <w:lang w:val="en-US" w:eastAsia="zh-CN"/>
        </w:rPr>
        <w:t>（二）</w:t>
      </w:r>
      <w:r>
        <w:rPr>
          <w:rFonts w:hint="default" w:ascii="Times New Roman" w:hAnsi="Times New Roman" w:eastAsia="楷体" w:cs="Times New Roman"/>
          <w:b/>
          <w:bCs/>
          <w:color w:val="auto"/>
          <w:sz w:val="32"/>
          <w:szCs w:val="32"/>
          <w:highlight w:val="none"/>
          <w:lang w:val="en-US" w:eastAsia="zh-CN"/>
        </w:rPr>
        <w:t>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sz w:val="32"/>
          <w:szCs w:val="32"/>
          <w:highlight w:val="none"/>
          <w:lang w:val="en-US" w:eastAsia="zh-CN"/>
        </w:rPr>
        <w:t>该项目奖励资金总规模为148万元，主要用于对完成达标入库的18家企业进行奖励。从各领域分布来看，工业领域入库企业3家，奖励30万元；商业领域入库企业11家，奖励86万元；建筑领域入库企业2家，奖励20万元；交通领域入库企业2家，奖励12万元。在项目实施过程中，各项关键指标表现优异，奖励发放企业合格率、奖励资金到位率、合格企业奖励发放覆盖率、奖励资金发放及时率均达到95%及以上，切实将政策红利精准、高效地送达达标企业，助力企业进一步发展，推动当地“转企升规”工作扎实推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（三）绩效目标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9"/>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kern w:val="0"/>
          <w:sz w:val="32"/>
          <w:szCs w:val="32"/>
          <w:highlight w:val="none"/>
          <w:lang w:bidi="ar"/>
        </w:rPr>
        <w:t>1.总目标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通过政策引导、资金扶持、服务优化等一系列举措，全市企业转型升级取得了显著成效，涌现出了一批具有示范引领作用的新“转企升规”企业。根据吐鲁番市政府及</w:t>
      </w:r>
      <w:r>
        <w:rPr>
          <w:rFonts w:hint="eastAsia" w:ascii="Times New Roman" w:hAnsi="Times New Roman" w:eastAsia="仿宋_GB2312" w:cs="Times New Roman"/>
          <w:b w:val="0"/>
          <w:bCs/>
          <w:color w:val="auto"/>
          <w:kern w:val="0"/>
          <w:sz w:val="32"/>
          <w:szCs w:val="32"/>
          <w:highlight w:val="none"/>
          <w:lang w:val="en-US" w:eastAsia="zh-CN" w:bidi="ar"/>
        </w:rPr>
        <w:t>市</w:t>
      </w:r>
      <w:r>
        <w:rPr>
          <w:rFonts w:hint="default" w:ascii="Times New Roman" w:hAnsi="Times New Roman" w:eastAsia="仿宋_GB2312" w:cs="Times New Roman"/>
          <w:b w:val="0"/>
          <w:bCs/>
          <w:color w:val="auto"/>
          <w:kern w:val="0"/>
          <w:sz w:val="32"/>
          <w:szCs w:val="32"/>
          <w:highlight w:val="none"/>
          <w:lang w:val="en-US" w:eastAsia="zh-CN" w:bidi="ar"/>
        </w:rPr>
        <w:t>统计局文件要求，完成达标入库的规上工业企业、商贸企业和服务业企业奖励资金发放工作，合计148万元奖励资金。</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2.年度绩效目标</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textAlignment w:val="baseline"/>
        <w:outlineLvl w:val="9"/>
        <w:rPr>
          <w:rFonts w:hint="default" w:ascii="Times New Roman" w:hAnsi="Times New Roman" w:eastAsia="仿宋_GB2312" w:cs="Times New Roman"/>
          <w:b/>
          <w:bCs w:val="0"/>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根据</w:t>
      </w:r>
      <w:r>
        <w:rPr>
          <w:rFonts w:hint="eastAsia" w:ascii="Times New Roman" w:hAnsi="Times New Roman" w:eastAsia="仿宋_GB2312" w:cs="Times New Roman"/>
          <w:b w:val="0"/>
          <w:bCs/>
          <w:color w:val="auto"/>
          <w:kern w:val="0"/>
          <w:sz w:val="32"/>
          <w:szCs w:val="32"/>
          <w:highlight w:val="none"/>
          <w:lang w:val="en-US" w:eastAsia="zh-CN" w:bidi="ar"/>
        </w:rPr>
        <w:t>该项目各单位</w:t>
      </w:r>
      <w:r>
        <w:rPr>
          <w:rFonts w:hint="default" w:ascii="Times New Roman" w:hAnsi="Times New Roman" w:eastAsia="仿宋_GB2312" w:cs="Times New Roman"/>
          <w:b w:val="0"/>
          <w:bCs/>
          <w:color w:val="auto"/>
          <w:kern w:val="0"/>
          <w:sz w:val="32"/>
          <w:szCs w:val="32"/>
          <w:highlight w:val="none"/>
          <w:lang w:val="en-US" w:eastAsia="zh-CN" w:bidi="ar"/>
        </w:rPr>
        <w:t>《2024年吐鲁番市“转企升规”企业奖励资金》项目申报表合并汇总后，本补贴经费专项资金2024年度绩效目标如下</w:t>
      </w:r>
      <w:r>
        <w:rPr>
          <w:rFonts w:hint="eastAsia" w:ascii="Times New Roman" w:hAnsi="Times New Roman" w:eastAsia="仿宋_GB2312" w:cs="Times New Roman"/>
          <w:b w:val="0"/>
          <w:bCs/>
          <w:color w:val="auto"/>
          <w:kern w:val="0"/>
          <w:sz w:val="32"/>
          <w:szCs w:val="32"/>
          <w:highlight w:val="none"/>
          <w:lang w:val="en-US" w:eastAsia="zh-CN" w:bidi="ar"/>
        </w:rPr>
        <w:t>：</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482" w:firstLineChars="200"/>
        <w:jc w:val="center"/>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bCs/>
          <w:color w:val="000000"/>
          <w:spacing w:val="0"/>
          <w:kern w:val="0"/>
          <w:sz w:val="24"/>
          <w:szCs w:val="24"/>
          <w:highlight w:val="none"/>
          <w:lang w:val="en-US" w:eastAsia="zh-CN" w:bidi="ar"/>
        </w:rPr>
        <w:t>表1-</w:t>
      </w:r>
      <w:r>
        <w:rPr>
          <w:rFonts w:hint="eastAsia" w:ascii="Times New Roman" w:hAnsi="Times New Roman" w:eastAsia="仿宋_GB2312" w:cs="Times New Roman"/>
          <w:b/>
          <w:bCs/>
          <w:color w:val="000000"/>
          <w:spacing w:val="0"/>
          <w:kern w:val="0"/>
          <w:sz w:val="24"/>
          <w:szCs w:val="24"/>
          <w:highlight w:val="none"/>
          <w:lang w:val="en-US" w:eastAsia="zh-CN" w:bidi="ar"/>
        </w:rPr>
        <w:t>1</w:t>
      </w:r>
      <w:r>
        <w:rPr>
          <w:rFonts w:hint="default" w:ascii="Times New Roman" w:hAnsi="Times New Roman" w:eastAsia="仿宋_GB2312" w:cs="Times New Roman"/>
          <w:b/>
          <w:bCs/>
          <w:color w:val="000000"/>
          <w:spacing w:val="0"/>
          <w:kern w:val="0"/>
          <w:sz w:val="24"/>
          <w:szCs w:val="24"/>
          <w:highlight w:val="none"/>
          <w:lang w:val="en-US" w:eastAsia="zh-CN" w:bidi="ar"/>
        </w:rPr>
        <w:t xml:space="preserve">  2024年吐鲁番市“转企升规”企业奖励资金</w:t>
      </w:r>
      <w:r>
        <w:rPr>
          <w:rFonts w:hint="eastAsia" w:ascii="Times New Roman" w:hAnsi="Times New Roman" w:eastAsia="仿宋_GB2312" w:cs="Times New Roman"/>
          <w:b/>
          <w:bCs/>
          <w:color w:val="000000"/>
          <w:spacing w:val="0"/>
          <w:kern w:val="0"/>
          <w:sz w:val="24"/>
          <w:szCs w:val="24"/>
          <w:highlight w:val="none"/>
          <w:lang w:val="en-US" w:eastAsia="zh-CN" w:bidi="ar"/>
        </w:rPr>
        <w:t>项目</w:t>
      </w:r>
      <w:r>
        <w:rPr>
          <w:rFonts w:hint="default" w:ascii="Times New Roman" w:hAnsi="Times New Roman" w:eastAsia="仿宋_GB2312" w:cs="Times New Roman"/>
          <w:b/>
          <w:bCs/>
          <w:color w:val="000000"/>
          <w:spacing w:val="0"/>
          <w:kern w:val="0"/>
          <w:sz w:val="24"/>
          <w:szCs w:val="24"/>
          <w:highlight w:val="none"/>
          <w:lang w:val="en-US" w:eastAsia="zh-CN" w:bidi="ar"/>
        </w:rPr>
        <w:t>绩效目标表</w:t>
      </w:r>
    </w:p>
    <w:tbl>
      <w:tblPr>
        <w:tblStyle w:val="10"/>
        <w:tblW w:w="4871"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3"/>
        <w:gridCol w:w="2231"/>
        <w:gridCol w:w="4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z w:val="22"/>
                <w:szCs w:val="22"/>
                <w:u w:val="none"/>
                <w:lang w:val="en-US" w:eastAsia="zh-CN"/>
              </w:rPr>
              <w:t>一级指标</w:t>
            </w:r>
          </w:p>
        </w:tc>
        <w:tc>
          <w:tcPr>
            <w:tcW w:w="134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z w:val="22"/>
                <w:szCs w:val="22"/>
                <w:u w:val="none"/>
                <w:lang w:val="en-US" w:eastAsia="zh-CN"/>
              </w:rPr>
              <w:t>二级指标</w:t>
            </w:r>
          </w:p>
        </w:tc>
        <w:tc>
          <w:tcPr>
            <w:tcW w:w="2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z w:val="22"/>
                <w:szCs w:val="22"/>
                <w:u w:val="none"/>
                <w:lang w:val="en-US" w:eastAsia="zh-CN"/>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产出指标</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数量指标</w:t>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奖励资金发放企业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1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质量指标</w:t>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奖励发放企业合格率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奖励资金到位率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合格企业奖励发放覆盖率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时效指标</w:t>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奖励资金发放及时率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成本指标</w:t>
            </w:r>
          </w:p>
        </w:tc>
        <w:tc>
          <w:tcPr>
            <w:tcW w:w="1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经济成本指标</w:t>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工业企业奖励资金发放成本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商贸业企业奖励资金发放成本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服务业企业奖励资金发放成本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效益指标</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社会效益指标</w:t>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发挥行业企业模范作用</w:t>
            </w:r>
          </w:p>
        </w:tc>
      </w:tr>
    </w:tbl>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二、绩效评价情况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（一）评价结论</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运用由评价组研发并通过预算单位确认的评价指标体系及评分标准，通过项目实施单位提供的基础数据、问卷调查和访谈获取的信息资料，评价组对2024年吐鲁番市“转企升规”企业奖励资金项目进行了独立客观地评价，最终评分结果为</w:t>
      </w:r>
      <w:r>
        <w:rPr>
          <w:rFonts w:hint="eastAsia" w:ascii="Times New Roman" w:hAnsi="Times New Roman" w:eastAsia="仿宋_GB2312" w:cs="Times New Roman"/>
          <w:b w:val="0"/>
          <w:bCs w:val="0"/>
          <w:color w:val="auto"/>
          <w:sz w:val="32"/>
          <w:szCs w:val="32"/>
          <w:highlight w:val="none"/>
          <w:lang w:val="en-US" w:eastAsia="zh-CN"/>
        </w:rPr>
        <w:t>97.80</w:t>
      </w:r>
      <w:r>
        <w:rPr>
          <w:rFonts w:hint="default" w:ascii="Times New Roman" w:hAnsi="Times New Roman" w:eastAsia="仿宋_GB2312" w:cs="Times New Roman"/>
          <w:b w:val="0"/>
          <w:bCs w:val="0"/>
          <w:color w:val="auto"/>
          <w:sz w:val="32"/>
          <w:szCs w:val="32"/>
          <w:highlight w:val="none"/>
          <w:lang w:val="en-US" w:eastAsia="zh-CN"/>
        </w:rPr>
        <w:t>分，评价等级为“</w:t>
      </w:r>
      <w:r>
        <w:rPr>
          <w:rFonts w:hint="eastAsia" w:ascii="Times New Roman" w:hAnsi="Times New Roman" w:eastAsia="仿宋_GB2312" w:cs="Times New Roman"/>
          <w:b w:val="0"/>
          <w:bCs w:val="0"/>
          <w:color w:val="auto"/>
          <w:sz w:val="32"/>
          <w:szCs w:val="32"/>
          <w:highlight w:val="none"/>
          <w:lang w:val="en-US" w:eastAsia="zh-CN"/>
        </w:rPr>
        <w:t>优</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（二）预算执行情况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2024年</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从政府预算收回的存量资金中调剂148万元</w:t>
      </w:r>
      <w:r>
        <w:rPr>
          <w:rFonts w:hint="eastAsia" w:ascii="Times New Roman" w:hAnsi="Times New Roman" w:eastAsia="仿宋_GB2312" w:cs="Times New Roman"/>
          <w:b w:val="0"/>
          <w:bCs w:val="0"/>
          <w:color w:val="auto"/>
          <w:sz w:val="32"/>
          <w:szCs w:val="32"/>
          <w:highlight w:val="none"/>
          <w:lang w:val="en-US" w:eastAsia="zh-CN"/>
        </w:rPr>
        <w:t>用于</w:t>
      </w:r>
      <w:r>
        <w:rPr>
          <w:rFonts w:hint="default" w:ascii="Times New Roman" w:hAnsi="Times New Roman" w:eastAsia="仿宋_GB2312" w:cs="Times New Roman"/>
          <w:b w:val="0"/>
          <w:bCs w:val="0"/>
          <w:color w:val="auto"/>
          <w:sz w:val="32"/>
          <w:szCs w:val="32"/>
          <w:highlight w:val="none"/>
          <w:lang w:val="en-US" w:eastAsia="zh-CN"/>
        </w:rPr>
        <w:t>吐鲁番市“转企升规”企业奖励资金项目</w:t>
      </w:r>
      <w:r>
        <w:rPr>
          <w:rFonts w:hint="eastAsia" w:ascii="Times New Roman" w:hAnsi="Times New Roman" w:eastAsia="仿宋_GB2312" w:cs="Times New Roman"/>
          <w:b w:val="0"/>
          <w:bCs w:val="0"/>
          <w:color w:val="auto"/>
          <w:sz w:val="32"/>
          <w:szCs w:val="32"/>
          <w:highlight w:val="none"/>
          <w:lang w:val="en-US" w:eastAsia="zh-CN"/>
        </w:rPr>
        <w:t>，并下</w:t>
      </w:r>
      <w:r>
        <w:rPr>
          <w:rFonts w:hint="default" w:ascii="Times New Roman" w:hAnsi="Times New Roman" w:eastAsia="仿宋_GB2312" w:cs="Times New Roman"/>
          <w:b w:val="0"/>
          <w:bCs w:val="0"/>
          <w:color w:val="auto"/>
          <w:sz w:val="32"/>
          <w:szCs w:val="32"/>
          <w:highlight w:val="none"/>
          <w:lang w:val="en-US" w:eastAsia="zh-CN"/>
        </w:rPr>
        <w:t>拨至相关市直行业主管部门，其中</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吐鲁番市工信局30万元、吐鲁番市商务局86万元、吐鲁番市统计局20万元、吐鲁番市交通局12万元</w:t>
      </w:r>
      <w:r>
        <w:rPr>
          <w:rFonts w:hint="eastAsia" w:ascii="Times New Roman" w:hAnsi="Times New Roman" w:eastAsia="仿宋_GB2312" w:cs="Times New Roman"/>
          <w:b w:val="0"/>
          <w:bCs w:val="0"/>
          <w:color w:val="auto"/>
          <w:sz w:val="32"/>
          <w:szCs w:val="32"/>
          <w:highlight w:val="none"/>
          <w:lang w:val="en-US" w:eastAsia="zh-CN"/>
        </w:rPr>
        <w:t>，截至2024年12月31日，已全部拨付至18家企业，预算</w:t>
      </w:r>
      <w:r>
        <w:rPr>
          <w:rFonts w:hint="default" w:ascii="Times New Roman" w:hAnsi="Times New Roman" w:eastAsia="仿宋_GB2312" w:cs="Times New Roman"/>
          <w:b w:val="0"/>
          <w:bCs w:val="0"/>
          <w:color w:val="auto"/>
          <w:sz w:val="32"/>
          <w:szCs w:val="32"/>
          <w:highlight w:val="none"/>
          <w:lang w:val="en-US" w:eastAsia="zh-CN"/>
        </w:rPr>
        <w:t>执行率100%。</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（三）项目绩效情况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该项目根据吐鲁番市政府及市统计局文件要求，通过精准落实达标入库企业奖励政策，顺利完成18家规上工业企业、商贸企业和服务业企业的奖励资金发放工作，累计发放奖励资金148万元。​</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sz w:val="32"/>
          <w:szCs w:val="32"/>
          <w:lang w:val="en-US" w:eastAsia="zh-CN" w:bidi="ar-SA"/>
        </w:rPr>
        <w:t>通过实施“转企升规”激励举措，有效激活了企业发展活力，带动了企业经营质效的全面提升。企业实现“转企升规”后，经营规模持续扩大，营业收入稳步增长，通过产能扩张与市场拓展，直接带动了地区生产总值（GDP）的增长，为区域经济发展注入了强劲动力。同时，通过规范规模以上企业的纳税管理，企业纳税行为更加合规，随着经营规模的扩大，税收贡献额度同步提升，提高了地方财政收入的稳定性。此外，这些企业通过发挥示范引领作用，带动了行业内其他企业对标提升，为促进区域产业结构优化和行业规范化发展树立了标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en-US"/>
        </w:rPr>
      </w:pPr>
      <w:r>
        <w:rPr>
          <w:rFonts w:hint="default" w:ascii="Times New Roman" w:hAnsi="Times New Roman" w:eastAsia="黑体" w:cs="Times New Roman"/>
          <w:color w:val="auto"/>
          <w:kern w:val="0"/>
          <w:sz w:val="32"/>
          <w:szCs w:val="32"/>
          <w:highlight w:val="none"/>
          <w:lang w:val="en-US" w:eastAsia="zh-CN" w:bidi="en-US"/>
        </w:rPr>
        <w:t>三、经验、问题和建议</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（一）主要经验及做法</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en-US"/>
        </w:rPr>
      </w:pPr>
      <w:r>
        <w:rPr>
          <w:rFonts w:hint="default" w:ascii="Times New Roman" w:hAnsi="Times New Roman" w:eastAsia="仿宋_GB2312" w:cs="Times New Roman"/>
          <w:b w:val="0"/>
          <w:bCs w:val="0"/>
          <w:color w:val="auto"/>
          <w:kern w:val="0"/>
          <w:sz w:val="32"/>
          <w:szCs w:val="32"/>
          <w:highlight w:val="none"/>
          <w:lang w:val="en-US" w:eastAsia="zh-CN" w:bidi="en-US"/>
        </w:rPr>
        <w:t>在推进“转企升规”工作过程中，吐鲁番市形成了一系列行之有效的经验和做法，有力推动了相关工作的顺利开展。​</w:t>
      </w:r>
      <w:r>
        <w:rPr>
          <w:rFonts w:hint="default" w:ascii="Times New Roman" w:hAnsi="Times New Roman" w:eastAsia="仿宋_GB2312" w:cs="Times New Roman"/>
          <w:b/>
          <w:bCs/>
          <w:color w:val="auto"/>
          <w:kern w:val="0"/>
          <w:sz w:val="32"/>
          <w:szCs w:val="32"/>
          <w:highlight w:val="none"/>
          <w:lang w:val="en-US" w:eastAsia="zh-CN" w:bidi="en-US"/>
        </w:rPr>
        <w:t>一是</w:t>
      </w:r>
      <w:r>
        <w:rPr>
          <w:rFonts w:hint="default" w:ascii="Times New Roman" w:hAnsi="Times New Roman" w:eastAsia="仿宋_GB2312" w:cs="Times New Roman"/>
          <w:b w:val="0"/>
          <w:bCs w:val="0"/>
          <w:color w:val="auto"/>
          <w:kern w:val="0"/>
          <w:sz w:val="32"/>
          <w:szCs w:val="32"/>
          <w:highlight w:val="none"/>
          <w:lang w:val="en-US" w:eastAsia="zh-CN" w:bidi="en-US"/>
        </w:rPr>
        <w:t>出台专项政策引导。通过印发《关于印发吐鲁番市“转企升规”十条措施（试行）的通知》（吐政办规〔2024〕1号），明确鼓励企业扩大规模、规范经营，为大力培育壮大市场主体、加快推进“个转企、小升规”工作提供了政策依据和方向指引。​</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en-US"/>
        </w:rPr>
      </w:pPr>
      <w:r>
        <w:rPr>
          <w:rFonts w:hint="default" w:ascii="Times New Roman" w:hAnsi="Times New Roman" w:eastAsia="仿宋_GB2312" w:cs="Times New Roman"/>
          <w:b/>
          <w:bCs/>
          <w:color w:val="auto"/>
          <w:kern w:val="0"/>
          <w:sz w:val="32"/>
          <w:szCs w:val="32"/>
          <w:highlight w:val="none"/>
          <w:lang w:val="en-US" w:eastAsia="zh-CN" w:bidi="en-US"/>
        </w:rPr>
        <w:t>二是</w:t>
      </w:r>
      <w:r>
        <w:rPr>
          <w:rFonts w:hint="default" w:ascii="Times New Roman" w:hAnsi="Times New Roman" w:eastAsia="仿宋_GB2312" w:cs="Times New Roman"/>
          <w:b w:val="0"/>
          <w:bCs w:val="0"/>
          <w:color w:val="auto"/>
          <w:kern w:val="0"/>
          <w:sz w:val="32"/>
          <w:szCs w:val="32"/>
          <w:highlight w:val="none"/>
          <w:lang w:val="en-US" w:eastAsia="zh-CN" w:bidi="en-US"/>
        </w:rPr>
        <w:t>明确部门职责分工。吐鲁番市统计局承担项目统一组织实施职责，负责企业规模认定等关键工作，并将2024年度园区内、园区外企业新“升规纳统”名单推送至各行业主管部门；吐鲁番市交通局、工信局、商务局负责对企业提交的申报材料进行细致审核，依据规定标准认定符合条件的企业，并按照核算结果及时、准确地完成资金拨付；财政部门则依据规定流程负责资金的划拨与管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en-US"/>
        </w:rPr>
      </w:pPr>
      <w:r>
        <w:rPr>
          <w:rFonts w:hint="default" w:ascii="Times New Roman" w:hAnsi="Times New Roman" w:eastAsia="仿宋_GB2312" w:cs="Times New Roman"/>
          <w:b/>
          <w:bCs/>
          <w:color w:val="auto"/>
          <w:kern w:val="0"/>
          <w:sz w:val="32"/>
          <w:szCs w:val="32"/>
          <w:highlight w:val="none"/>
          <w:lang w:val="en-US" w:eastAsia="zh-CN" w:bidi="en-US"/>
        </w:rPr>
        <w:t>三是</w:t>
      </w:r>
      <w:r>
        <w:rPr>
          <w:rFonts w:hint="default" w:ascii="Times New Roman" w:hAnsi="Times New Roman" w:eastAsia="仿宋_GB2312" w:cs="Times New Roman"/>
          <w:b w:val="0"/>
          <w:bCs w:val="0"/>
          <w:color w:val="auto"/>
          <w:kern w:val="0"/>
          <w:sz w:val="32"/>
          <w:szCs w:val="32"/>
          <w:highlight w:val="none"/>
          <w:lang w:val="en-US" w:eastAsia="zh-CN" w:bidi="en-US"/>
        </w:rPr>
        <w:t>强化部门协同合作。各相关部门在工作中密切配合，以明确的职责分工为基础，协同推进各项工作，形成了工作合力，确保了“转企升规”项目的顺利推进。</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（二）存在问题与不足</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i w:val="0"/>
          <w:iCs w:val="0"/>
          <w:caps w:val="0"/>
          <w:color w:val="000000"/>
          <w:spacing w:val="0"/>
          <w:sz w:val="32"/>
          <w:szCs w:val="32"/>
          <w:highlight w:val="none"/>
          <w:lang w:val="en-US" w:eastAsia="zh-CN"/>
        </w:rPr>
      </w:pPr>
      <w:r>
        <w:rPr>
          <w:rFonts w:hint="eastAsia" w:ascii="Times New Roman" w:hAnsi="Times New Roman" w:eastAsia="仿宋_GB2312" w:cs="Times New Roman"/>
          <w:b/>
          <w:bCs/>
          <w:i w:val="0"/>
          <w:iCs w:val="0"/>
          <w:caps w:val="0"/>
          <w:color w:val="000000"/>
          <w:spacing w:val="0"/>
          <w:sz w:val="32"/>
          <w:szCs w:val="32"/>
          <w:highlight w:val="none"/>
          <w:lang w:val="en-US" w:eastAsia="zh-CN"/>
        </w:rPr>
        <w:t>1.项目绩效目标管理整体待完善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lang w:val="en-US" w:eastAsia="zh-CN"/>
        </w:rPr>
        <w:t>在项目绩效目标管理方面尚有优化空间。该项目绩效目标管理作为统筹项目全局、衡量实施成效的关键基石，其系统性构建对项目整体推进具有决定性作用。该项目由吐鲁番市统计局牵头组织实施，核心环节仍存在明显短板：截至目前，项目绩效目标表仅整合了各单独申报的分散目标，尚未建立统一的合并管理机制与集中申报流程。这种碎片化管理状态，不仅背离了绩效目标管理对项目实施的引领与约束功能，更直接弱化了其对项目整体绩效的统筹把控与综合评估效能，</w:t>
      </w:r>
      <w:r>
        <w:rPr>
          <w:rFonts w:hint="eastAsia" w:ascii="Times New Roman" w:hAnsi="Times New Roman" w:eastAsia="仿宋_GB2312" w:cs="Times New Roman"/>
          <w:i w:val="0"/>
          <w:iCs w:val="0"/>
          <w:caps w:val="0"/>
          <w:color w:val="000000"/>
          <w:spacing w:val="0"/>
          <w:sz w:val="32"/>
          <w:szCs w:val="32"/>
          <w:highlight w:val="none"/>
          <w:lang w:val="en-US" w:eastAsia="zh-CN"/>
        </w:rPr>
        <w:t>亟须</w:t>
      </w:r>
      <w:r>
        <w:rPr>
          <w:rFonts w:hint="default" w:ascii="Times New Roman" w:hAnsi="Times New Roman" w:eastAsia="仿宋_GB2312" w:cs="Times New Roman"/>
          <w:i w:val="0"/>
          <w:iCs w:val="0"/>
          <w:caps w:val="0"/>
          <w:color w:val="000000"/>
          <w:spacing w:val="0"/>
          <w:sz w:val="32"/>
          <w:szCs w:val="32"/>
          <w:highlight w:val="none"/>
          <w:lang w:val="en-US" w:eastAsia="zh-CN"/>
        </w:rPr>
        <w:t>从体系层面加以完善。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i w:val="0"/>
          <w:iCs w:val="0"/>
          <w:caps w:val="0"/>
          <w:color w:val="000000"/>
          <w:spacing w:val="0"/>
          <w:sz w:val="32"/>
          <w:szCs w:val="32"/>
          <w:highlight w:val="none"/>
          <w:lang w:val="en-US" w:eastAsia="zh-CN"/>
        </w:rPr>
      </w:pPr>
      <w:r>
        <w:rPr>
          <w:rFonts w:hint="eastAsia" w:ascii="Times New Roman" w:hAnsi="Times New Roman" w:eastAsia="仿宋_GB2312" w:cs="Times New Roman"/>
          <w:b/>
          <w:bCs/>
          <w:i w:val="0"/>
          <w:iCs w:val="0"/>
          <w:caps w:val="0"/>
          <w:color w:val="000000"/>
          <w:spacing w:val="0"/>
          <w:sz w:val="32"/>
          <w:szCs w:val="32"/>
          <w:highlight w:val="none"/>
          <w:lang w:val="en-US" w:eastAsia="zh-CN"/>
        </w:rPr>
        <w:t>2.总结报告资料提供不全面，制度执行统一性存在局限性</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000000"/>
          <w:spacing w:val="0"/>
          <w:sz w:val="32"/>
          <w:szCs w:val="32"/>
          <w:highlight w:val="none"/>
          <w:lang w:val="en-US" w:eastAsia="zh-CN"/>
        </w:rPr>
      </w:pPr>
      <w:r>
        <w:rPr>
          <w:rFonts w:hint="eastAsia" w:ascii="Times New Roman" w:hAnsi="Times New Roman" w:eastAsia="仿宋_GB2312" w:cs="Times New Roman"/>
          <w:b/>
          <w:bCs/>
          <w:i w:val="0"/>
          <w:iCs w:val="0"/>
          <w:caps w:val="0"/>
          <w:color w:val="000000"/>
          <w:spacing w:val="0"/>
          <w:sz w:val="32"/>
          <w:szCs w:val="32"/>
          <w:highlight w:val="none"/>
          <w:lang w:val="en-US" w:eastAsia="zh-CN"/>
        </w:rPr>
        <w:t>一是</w:t>
      </w:r>
      <w:r>
        <w:rPr>
          <w:rFonts w:hint="eastAsia" w:ascii="Times New Roman" w:hAnsi="Times New Roman" w:eastAsia="仿宋_GB2312" w:cs="Times New Roman"/>
          <w:b w:val="0"/>
          <w:bCs w:val="0"/>
          <w:i w:val="0"/>
          <w:iCs w:val="0"/>
          <w:caps w:val="0"/>
          <w:color w:val="000000"/>
          <w:spacing w:val="0"/>
          <w:sz w:val="32"/>
          <w:szCs w:val="32"/>
          <w:highlight w:val="none"/>
          <w:lang w:val="en-US" w:eastAsia="zh-CN"/>
        </w:rPr>
        <w:t>基于</w:t>
      </w:r>
      <w:r>
        <w:rPr>
          <w:rFonts w:hint="default" w:ascii="Times New Roman" w:hAnsi="Times New Roman" w:eastAsia="仿宋_GB2312" w:cs="Times New Roman"/>
          <w:i w:val="0"/>
          <w:iCs w:val="0"/>
          <w:caps w:val="0"/>
          <w:color w:val="000000"/>
          <w:spacing w:val="0"/>
          <w:sz w:val="32"/>
          <w:szCs w:val="32"/>
          <w:highlight w:val="none"/>
          <w:lang w:val="en-US" w:eastAsia="zh-CN"/>
        </w:rPr>
        <w:t>资料提供维度，各参与部门在总结报告资料供给上呈现不均衡状态。部分部门能够按要求提交完整材料，但仍有部门存在资料缺失或滞后问题，导致总结报告难以全面反映项目实施的关键环节与协同细节。这种资料完整性的不足，直接制约了对项目整体成效的系统评估与经验提炼。</w:t>
      </w:r>
      <w:r>
        <w:rPr>
          <w:rFonts w:hint="eastAsia" w:ascii="Times New Roman" w:hAnsi="Times New Roman" w:eastAsia="仿宋_GB2312" w:cs="Times New Roman"/>
          <w:b/>
          <w:bCs/>
          <w:i w:val="0"/>
          <w:iCs w:val="0"/>
          <w:caps w:val="0"/>
          <w:color w:val="000000"/>
          <w:spacing w:val="0"/>
          <w:sz w:val="32"/>
          <w:szCs w:val="32"/>
          <w:highlight w:val="none"/>
          <w:lang w:val="en-US" w:eastAsia="zh-CN"/>
        </w:rPr>
        <w:t>二是</w:t>
      </w:r>
      <w:r>
        <w:rPr>
          <w:rFonts w:hint="default" w:ascii="Times New Roman" w:hAnsi="Times New Roman" w:eastAsia="仿宋_GB2312" w:cs="Times New Roman"/>
          <w:i w:val="0"/>
          <w:iCs w:val="0"/>
          <w:caps w:val="0"/>
          <w:color w:val="000000"/>
          <w:spacing w:val="0"/>
          <w:sz w:val="32"/>
          <w:szCs w:val="32"/>
          <w:highlight w:val="none"/>
          <w:lang w:val="en-US" w:eastAsia="zh-CN"/>
        </w:rPr>
        <w:t>项目各参与部门在资料报送相关制度的执行上存在一定差异。项目已建立相关资料报送制度，在跨部门执行层面未能形成一致标准：部分部门严格遵循制度要求，确保资料</w:t>
      </w:r>
      <w:bookmarkStart w:id="3" w:name="_GoBack"/>
      <w:bookmarkEnd w:id="3"/>
      <w:r>
        <w:rPr>
          <w:rFonts w:hint="default" w:ascii="Times New Roman" w:hAnsi="Times New Roman" w:eastAsia="仿宋_GB2312" w:cs="Times New Roman"/>
          <w:i w:val="0"/>
          <w:iCs w:val="0"/>
          <w:caps w:val="0"/>
          <w:color w:val="000000"/>
          <w:spacing w:val="0"/>
          <w:sz w:val="32"/>
          <w:szCs w:val="32"/>
          <w:highlight w:val="none"/>
          <w:lang w:val="en-US" w:eastAsia="zh-CN"/>
        </w:rPr>
        <w:t>按时按质归档；另有部门在执行中存在流程疏漏或标准</w:t>
      </w:r>
      <w:r>
        <w:rPr>
          <w:rFonts w:hint="eastAsia" w:ascii="Times New Roman" w:hAnsi="Times New Roman" w:eastAsia="仿宋_GB2312" w:cs="Times New Roman"/>
          <w:i w:val="0"/>
          <w:iCs w:val="0"/>
          <w:caps w:val="0"/>
          <w:color w:val="000000"/>
          <w:spacing w:val="0"/>
          <w:sz w:val="32"/>
          <w:szCs w:val="32"/>
          <w:highlight w:val="none"/>
          <w:lang w:val="en-US" w:eastAsia="zh-CN"/>
        </w:rPr>
        <w:t>松弛</w:t>
      </w:r>
      <w:r>
        <w:rPr>
          <w:rFonts w:hint="default" w:ascii="Times New Roman" w:hAnsi="Times New Roman" w:eastAsia="仿宋_GB2312" w:cs="Times New Roman"/>
          <w:i w:val="0"/>
          <w:iCs w:val="0"/>
          <w:caps w:val="0"/>
          <w:color w:val="000000"/>
          <w:spacing w:val="0"/>
          <w:sz w:val="32"/>
          <w:szCs w:val="32"/>
          <w:highlight w:val="none"/>
          <w:lang w:val="en-US" w:eastAsia="zh-CN"/>
        </w:rPr>
        <w:t>现象。这种执行差异并非源于制度设计本身的缺陷，而主要受制于跨部门协同中的衔接机制不健全，导致制度刚性约束被弱化，进而影响项目管理在资料闭环环节的规范性与严肃性</w:t>
      </w:r>
      <w:r>
        <w:rPr>
          <w:rFonts w:hint="eastAsia" w:ascii="Times New Roman" w:hAnsi="Times New Roman" w:eastAsia="仿宋_GB2312" w:cs="Times New Roman"/>
          <w:i w:val="0"/>
          <w:iCs w:val="0"/>
          <w:caps w:val="0"/>
          <w:color w:val="000000"/>
          <w:spacing w:val="0"/>
          <w:sz w:val="32"/>
          <w:szCs w:val="32"/>
          <w:highlight w:val="none"/>
          <w:lang w:val="en-US" w:eastAsia="zh-CN"/>
        </w:rPr>
        <w:t>。</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（三）建议和改进措施</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Times New Roman" w:hAnsi="Times New Roman" w:eastAsia="仿宋_GB2312" w:cs="Times New Roman"/>
          <w:b/>
          <w:bCs/>
          <w:color w:val="auto"/>
          <w:kern w:val="0"/>
          <w:sz w:val="32"/>
          <w:szCs w:val="32"/>
          <w:highlight w:val="none"/>
          <w:lang w:val="en-US" w:eastAsia="zh-CN" w:bidi="en-US"/>
        </w:rPr>
      </w:pPr>
      <w:r>
        <w:rPr>
          <w:rFonts w:hint="eastAsia" w:ascii="Times New Roman" w:hAnsi="Times New Roman" w:eastAsia="仿宋_GB2312" w:cs="Times New Roman"/>
          <w:b/>
          <w:bCs/>
          <w:color w:val="auto"/>
          <w:kern w:val="0"/>
          <w:sz w:val="32"/>
          <w:szCs w:val="32"/>
          <w:highlight w:val="none"/>
          <w:lang w:val="en-US" w:eastAsia="zh-CN" w:bidi="en-US"/>
        </w:rPr>
        <w:t>1.强化牵头单位核心统筹职能，建立绩效目标整合联动机制</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en-US"/>
        </w:rPr>
      </w:pPr>
      <w:r>
        <w:rPr>
          <w:rFonts w:hint="eastAsia" w:ascii="Times New Roman" w:hAnsi="Times New Roman" w:eastAsia="仿宋_GB2312" w:cs="Times New Roman"/>
          <w:b w:val="0"/>
          <w:bCs w:val="0"/>
          <w:color w:val="auto"/>
          <w:kern w:val="0"/>
          <w:sz w:val="32"/>
          <w:szCs w:val="32"/>
          <w:highlight w:val="none"/>
          <w:lang w:val="en-US" w:eastAsia="zh-CN" w:bidi="en-US"/>
        </w:rPr>
        <w:t>（1）</w:t>
      </w:r>
      <w:r>
        <w:rPr>
          <w:rFonts w:hint="default" w:ascii="Times New Roman" w:hAnsi="Times New Roman" w:eastAsia="仿宋_GB2312" w:cs="Times New Roman"/>
          <w:b w:val="0"/>
          <w:bCs w:val="0"/>
          <w:color w:val="auto"/>
          <w:kern w:val="0"/>
          <w:sz w:val="32"/>
          <w:szCs w:val="32"/>
          <w:highlight w:val="none"/>
          <w:lang w:val="en-US" w:eastAsia="zh-CN" w:bidi="en-US"/>
        </w:rPr>
        <w:t>明确吐鲁番市统计局作为项目整体绩效目标管理的责任主体，赋予其统筹协调权与目标整合主导权。由其牵头负责整体绩效目标的系统整合、规范编制、严格审核及动态调整全流程管理，通过建立“部门目标—项目总目标”映射关系，确保各部门分解目标与项目整体战略目标的一致性与协同性，从源头解决目标碎片化问题。</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en-US"/>
        </w:rPr>
      </w:pPr>
      <w:r>
        <w:rPr>
          <w:rFonts w:hint="eastAsia" w:ascii="Times New Roman" w:hAnsi="Times New Roman" w:eastAsia="仿宋_GB2312" w:cs="Times New Roman"/>
          <w:b w:val="0"/>
          <w:bCs w:val="0"/>
          <w:color w:val="auto"/>
          <w:kern w:val="0"/>
          <w:sz w:val="32"/>
          <w:szCs w:val="32"/>
          <w:highlight w:val="none"/>
          <w:lang w:val="en-US" w:eastAsia="zh-CN" w:bidi="en-US"/>
        </w:rPr>
        <w:t>（2）由牵头单位牵头组建跨部门绩效目标整合工作小组，吸纳各相关单位。绩效管理人员参与，形成“统一协调、分工协作”的工作架构。</w:t>
      </w:r>
      <w:r>
        <w:rPr>
          <w:rFonts w:hint="eastAsia" w:ascii="Times New Roman" w:hAnsi="Times New Roman" w:eastAsia="仿宋_GB2312" w:cs="Times New Roman"/>
          <w:color w:val="auto"/>
          <w:sz w:val="32"/>
          <w:szCs w:val="32"/>
          <w:highlight w:val="none"/>
          <w:lang w:val="en-US" w:eastAsia="zh-CN" w:bidi="en-US"/>
        </w:rPr>
        <w:t>每月或每季度召开协调会议，同步各部门绩效目标推进进度，梳理目标间的关联性与冲突点，通过协商机制解决整合过程中的分歧，凝聚工作合力。定期组织整体绩效目标管理专项培训，重点讲解目标整合的方法论、规范要求及协同价值，强化各部门对“整体目标统领部门目标”逻辑的认知，提升配合整合工作的主动性与专业能力，确保目标整合工作高效落地。</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Times New Roman" w:hAnsi="Times New Roman" w:eastAsia="仿宋_GB2312" w:cs="Times New Roman"/>
          <w:b/>
          <w:bCs/>
          <w:color w:val="auto"/>
          <w:kern w:val="0"/>
          <w:sz w:val="32"/>
          <w:szCs w:val="32"/>
          <w:highlight w:val="none"/>
          <w:lang w:val="en-US" w:eastAsia="zh-CN" w:bidi="en-US"/>
        </w:rPr>
      </w:pPr>
      <w:r>
        <w:rPr>
          <w:rFonts w:hint="eastAsia" w:ascii="Times New Roman" w:hAnsi="Times New Roman" w:eastAsia="仿宋_GB2312" w:cs="Times New Roman"/>
          <w:b/>
          <w:bCs/>
          <w:color w:val="auto"/>
          <w:kern w:val="0"/>
          <w:sz w:val="32"/>
          <w:szCs w:val="32"/>
          <w:highlight w:val="none"/>
          <w:lang w:val="en-US" w:eastAsia="zh-CN" w:bidi="en-US"/>
        </w:rPr>
        <w:t>2.强化资料完整性审核环节，完善制度细化与解读机制</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en-US"/>
        </w:rPr>
      </w:pPr>
      <w:r>
        <w:rPr>
          <w:rFonts w:hint="eastAsia" w:ascii="Times New Roman" w:hAnsi="Times New Roman" w:eastAsia="仿宋_GB2312" w:cs="Times New Roman"/>
          <w:b w:val="0"/>
          <w:bCs w:val="0"/>
          <w:color w:val="auto"/>
          <w:kern w:val="0"/>
          <w:sz w:val="32"/>
          <w:szCs w:val="32"/>
          <w:highlight w:val="none"/>
          <w:lang w:val="en-US" w:eastAsia="zh-CN" w:bidi="en-US"/>
        </w:rPr>
        <w:t>（1）牵头单位系统梳理总结报告所需核心要件，涵盖项目实施台账、绩效原始数据、第三方佐证材料等关键要素，制定统一的《总结报告资料清单及规范标准》。文件需明确各类资料的格式规范（如数据报表模板、凭证扫描要求）、提交时限节点（含阶段性与终期截至时间）及对应责任部门，通过清单化管理确保各部门精准掌握资料提供的具体范畴与达标标准，从源头减少资料缺失或不规范问题。</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en-US"/>
        </w:rPr>
      </w:pPr>
      <w:r>
        <w:rPr>
          <w:rFonts w:hint="eastAsia" w:ascii="Times New Roman" w:hAnsi="Times New Roman" w:eastAsia="仿宋_GB2312" w:cs="Times New Roman"/>
          <w:b w:val="0"/>
          <w:bCs w:val="0"/>
          <w:color w:val="auto"/>
          <w:kern w:val="0"/>
          <w:sz w:val="32"/>
          <w:szCs w:val="32"/>
          <w:highlight w:val="none"/>
          <w:lang w:val="en-US" w:eastAsia="zh-CN" w:bidi="en-US"/>
        </w:rPr>
        <w:t>（2）组建跨部门资料收集协作小组，明确各参与部门的专职资料对接人，形成“一对一”责任链条。通过周例会会商+线上实时共享群的双渠道沟通模式，动态跟踪资料准备进度：对资料缺失、格式不符等情况，由协作小组第一时间发出预警并协助补充完善，构建“牵头单位统筹调度—部门联动响应—问题闭环解决”的资料收集全流程管理体系。</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en-US"/>
        </w:rPr>
      </w:pPr>
      <w:r>
        <w:rPr>
          <w:rFonts w:hint="eastAsia" w:ascii="Times New Roman" w:hAnsi="Times New Roman" w:eastAsia="仿宋_GB2312" w:cs="Times New Roman"/>
          <w:b w:val="0"/>
          <w:bCs w:val="0"/>
          <w:color w:val="auto"/>
          <w:kern w:val="0"/>
          <w:sz w:val="32"/>
          <w:szCs w:val="32"/>
          <w:highlight w:val="none"/>
          <w:lang w:val="en-US" w:eastAsia="zh-CN" w:bidi="en-US"/>
        </w:rPr>
        <w:t>（3）牵头单位结合项目实际，对现行实施规范、流程标准、考核办法等制度文件进行系统梳理，针对执行中存在的模糊条款或歧义点，编制《制度执行细则及解读手册》。手册需通过典型案例解析、流程图解、权责矩阵等可视化方式明确操作要求，并组织各部门开展专项解读培训，确保制度理解无偏差、执行标准统一。</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黑体" w:cs="Times New Roman"/>
          <w:b/>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黑体" w:cs="Times New Roman"/>
          <w:b/>
          <w:sz w:val="32"/>
          <w:szCs w:val="32"/>
          <w:highlight w:val="none"/>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方正小标宋_GBK">
    <w:altName w:val="微软雅黑"/>
    <w:panose1 w:val="02000000000000000000"/>
    <w:charset w:val="86"/>
    <w:family w:val="auto"/>
    <w:pitch w:val="default"/>
    <w:sig w:usb0="00000000" w:usb1="00000000" w:usb2="00082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1"/>
      </w:pBdr>
      <w:kinsoku/>
      <w:wordWrap/>
      <w:overflowPunct/>
      <w:topLinePunct w:val="0"/>
      <w:bidi w:val="0"/>
      <w:adjustRightInd/>
      <w:snapToGrid w:val="0"/>
      <w:spacing w:after="0" w:line="300" w:lineRule="exact"/>
      <w:ind w:firstLine="840" w:firstLineChars="400"/>
      <w:jc w:val="left"/>
      <w:textAlignment w:val="auto"/>
      <w:outlineLvl w:val="9"/>
      <w:rPr>
        <w:rFonts w:hint="eastAsia" w:ascii="Times New Roman" w:hAnsi="Times New Roman" w:eastAsia="宋体"/>
        <w:b w:val="0"/>
        <w:bCs w:val="0"/>
        <w:sz w:val="21"/>
        <w:szCs w:val="21"/>
      </w:rPr>
    </w:pPr>
    <w:r>
      <w:rPr>
        <w:rFonts w:hint="eastAsia" w:ascii="隶书" w:hAnsi="宋体"/>
        <w:b w:val="0"/>
        <w:bCs w:val="0"/>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-15875</wp:posOffset>
          </wp:positionV>
          <wp:extent cx="422910" cy="385445"/>
          <wp:effectExtent l="0" t="0" r="3810" b="10795"/>
          <wp:wrapSquare wrapText="bothSides"/>
          <wp:docPr id="2" name="图片 2"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讯小图标"/>
                  <pic:cNvPicPr>
                    <a:picLocks noChangeAspect="1"/>
                  </pic:cNvPicPr>
                </pic:nvPicPr>
                <pic:blipFill>
                  <a:blip r:embed="rId1"/>
                  <a:stretch>
                    <a:fillRect/>
                  </a:stretch>
                </pic:blipFill>
                <pic:spPr>
                  <a:xfrm>
                    <a:off x="0" y="0"/>
                    <a:ext cx="422910" cy="385445"/>
                  </a:xfrm>
                  <a:prstGeom prst="rect">
                    <a:avLst/>
                  </a:prstGeom>
                </pic:spPr>
              </pic:pic>
            </a:graphicData>
          </a:graphic>
        </wp:anchor>
      </w:drawing>
    </w:r>
    <w:r>
      <w:rPr>
        <w:rFonts w:hint="eastAsia" w:ascii="Times New Roman" w:hAnsi="Times New Roman"/>
        <w:b w:val="0"/>
        <w:bCs w:val="0"/>
        <w:sz w:val="21"/>
        <w:szCs w:val="21"/>
      </w:rPr>
      <w:t>新</w:t>
    </w:r>
    <w:r>
      <w:rPr>
        <w:rFonts w:hint="eastAsia" w:ascii="Times New Roman" w:hAnsi="Times New Roman" w:eastAsia="宋体"/>
        <w:b w:val="0"/>
        <w:bCs w:val="0"/>
        <w:sz w:val="21"/>
        <w:szCs w:val="21"/>
      </w:rPr>
      <w:t>疆</w:t>
    </w:r>
    <w:r>
      <w:rPr>
        <w:rFonts w:hint="eastAsia" w:ascii="Times New Roman" w:hAnsi="Times New Roman" w:eastAsia="宋体"/>
        <w:b w:val="0"/>
        <w:bCs w:val="0"/>
        <w:sz w:val="21"/>
        <w:szCs w:val="21"/>
        <w:lang w:val="en-US" w:eastAsia="zh-CN"/>
      </w:rPr>
      <w:t>财讯睿智信息咨询</w:t>
    </w:r>
    <w:r>
      <w:rPr>
        <w:rFonts w:hint="eastAsia" w:ascii="Times New Roman" w:hAnsi="Times New Roman" w:eastAsia="宋体"/>
        <w:b w:val="0"/>
        <w:bCs w:val="0"/>
        <w:sz w:val="21"/>
        <w:szCs w:val="21"/>
      </w:rPr>
      <w:t>有限</w:t>
    </w:r>
    <w:r>
      <w:rPr>
        <w:rFonts w:hint="eastAsia" w:ascii="Times New Roman" w:hAnsi="Times New Roman" w:eastAsia="宋体"/>
        <w:b w:val="0"/>
        <w:bCs w:val="0"/>
        <w:sz w:val="21"/>
        <w:szCs w:val="21"/>
        <w:lang w:val="en-US" w:eastAsia="zh-CN"/>
      </w:rPr>
      <w:t>公司</w:t>
    </w:r>
    <w:r>
      <w:rPr>
        <w:rFonts w:hint="eastAsia" w:ascii="Times New Roman" w:hAnsi="Times New Roman" w:eastAsia="宋体"/>
        <w:b w:val="0"/>
        <w:bCs w:val="0"/>
        <w:sz w:val="21"/>
        <w:szCs w:val="21"/>
      </w:rPr>
      <w:t xml:space="preserve">     </w:t>
    </w:r>
  </w:p>
  <w:p>
    <w:pPr>
      <w:pStyle w:val="6"/>
      <w:keepNext w:val="0"/>
      <w:keepLines w:val="0"/>
      <w:pageBreakBefore w:val="0"/>
      <w:widowControl w:val="0"/>
      <w:pBdr>
        <w:bottom w:val="single" w:color="auto" w:sz="4" w:space="1"/>
      </w:pBdr>
      <w:kinsoku/>
      <w:wordWrap/>
      <w:overflowPunct/>
      <w:topLinePunct w:val="0"/>
      <w:bidi w:val="0"/>
      <w:adjustRightInd/>
      <w:snapToGrid w:val="0"/>
      <w:spacing w:after="0" w:line="300" w:lineRule="exact"/>
      <w:ind w:firstLine="840" w:firstLineChars="400"/>
      <w:jc w:val="left"/>
      <w:textAlignment w:val="auto"/>
      <w:outlineLvl w:val="9"/>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injiang Cai</w:t>
    </w: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un Ruizhi Information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E1F9C"/>
    <w:multiLevelType w:val="singleLevel"/>
    <w:tmpl w:val="88EE1F9C"/>
    <w:lvl w:ilvl="0" w:tentative="0">
      <w:start w:val="1"/>
      <w:numFmt w:val="chineseCounting"/>
      <w:suff w:val="nothing"/>
      <w:lvlText w:val="（%1）"/>
      <w:lvlJc w:val="left"/>
      <w:rPr>
        <w:rFonts w:hint="eastAsia"/>
      </w:rPr>
    </w:lvl>
  </w:abstractNum>
  <w:abstractNum w:abstractNumId="1">
    <w:nsid w:val="71D1758D"/>
    <w:multiLevelType w:val="singleLevel"/>
    <w:tmpl w:val="71D1758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1EF3980"/>
    <w:rsid w:val="01F32976"/>
    <w:rsid w:val="023E7F6D"/>
    <w:rsid w:val="026C1A81"/>
    <w:rsid w:val="02FE20CD"/>
    <w:rsid w:val="030C19A7"/>
    <w:rsid w:val="031F3DF1"/>
    <w:rsid w:val="033B6E7D"/>
    <w:rsid w:val="041A1188"/>
    <w:rsid w:val="046749DD"/>
    <w:rsid w:val="04A52836"/>
    <w:rsid w:val="05235E1B"/>
    <w:rsid w:val="055D636D"/>
    <w:rsid w:val="05A42115"/>
    <w:rsid w:val="05FD48BE"/>
    <w:rsid w:val="069074E0"/>
    <w:rsid w:val="08D4742C"/>
    <w:rsid w:val="08FC0E5C"/>
    <w:rsid w:val="0966299D"/>
    <w:rsid w:val="0A59769D"/>
    <w:rsid w:val="0A9357F1"/>
    <w:rsid w:val="0AF81AF7"/>
    <w:rsid w:val="0B072310"/>
    <w:rsid w:val="0B097861"/>
    <w:rsid w:val="0B257EEC"/>
    <w:rsid w:val="0C3628D7"/>
    <w:rsid w:val="0D091DCE"/>
    <w:rsid w:val="0D7B505C"/>
    <w:rsid w:val="0DA33F9D"/>
    <w:rsid w:val="0E597B37"/>
    <w:rsid w:val="0EA03309"/>
    <w:rsid w:val="0F962004"/>
    <w:rsid w:val="10DE6CB2"/>
    <w:rsid w:val="11655F9D"/>
    <w:rsid w:val="13D36C5E"/>
    <w:rsid w:val="14260760"/>
    <w:rsid w:val="146124BC"/>
    <w:rsid w:val="14C64FF5"/>
    <w:rsid w:val="156F6E5A"/>
    <w:rsid w:val="15AB60E4"/>
    <w:rsid w:val="15C866CC"/>
    <w:rsid w:val="161466D7"/>
    <w:rsid w:val="165D34A1"/>
    <w:rsid w:val="16BF796D"/>
    <w:rsid w:val="174E5CD9"/>
    <w:rsid w:val="18573340"/>
    <w:rsid w:val="1ABF7F3C"/>
    <w:rsid w:val="1B854CE1"/>
    <w:rsid w:val="1BEE36D9"/>
    <w:rsid w:val="1CBD66FD"/>
    <w:rsid w:val="1D021F3F"/>
    <w:rsid w:val="1D4314EC"/>
    <w:rsid w:val="1DC258F9"/>
    <w:rsid w:val="1E380731"/>
    <w:rsid w:val="1E8F7C25"/>
    <w:rsid w:val="1F332CA6"/>
    <w:rsid w:val="20234AC9"/>
    <w:rsid w:val="205D622D"/>
    <w:rsid w:val="227635D6"/>
    <w:rsid w:val="238B4E5F"/>
    <w:rsid w:val="24CF6FCD"/>
    <w:rsid w:val="254B6244"/>
    <w:rsid w:val="26C436A5"/>
    <w:rsid w:val="284D23F2"/>
    <w:rsid w:val="28893937"/>
    <w:rsid w:val="29B4451F"/>
    <w:rsid w:val="2A59392D"/>
    <w:rsid w:val="2AEA41C5"/>
    <w:rsid w:val="2B1716CE"/>
    <w:rsid w:val="2CF37A4F"/>
    <w:rsid w:val="2DD90EBD"/>
    <w:rsid w:val="2E84235F"/>
    <w:rsid w:val="2EF22236"/>
    <w:rsid w:val="2F243629"/>
    <w:rsid w:val="2F4A2E19"/>
    <w:rsid w:val="2FF63FA8"/>
    <w:rsid w:val="310149B3"/>
    <w:rsid w:val="31181CFC"/>
    <w:rsid w:val="31AD68E8"/>
    <w:rsid w:val="31B9528D"/>
    <w:rsid w:val="320C1861"/>
    <w:rsid w:val="325B6344"/>
    <w:rsid w:val="32A001FB"/>
    <w:rsid w:val="340F5638"/>
    <w:rsid w:val="36015455"/>
    <w:rsid w:val="36B83D65"/>
    <w:rsid w:val="370074BA"/>
    <w:rsid w:val="37427AD3"/>
    <w:rsid w:val="376932B2"/>
    <w:rsid w:val="37A14BDC"/>
    <w:rsid w:val="37B62C0B"/>
    <w:rsid w:val="3AD60C5E"/>
    <w:rsid w:val="3B1A3241"/>
    <w:rsid w:val="3B624143"/>
    <w:rsid w:val="3C1732DC"/>
    <w:rsid w:val="3C726653"/>
    <w:rsid w:val="3C8F1D62"/>
    <w:rsid w:val="3DE11DF4"/>
    <w:rsid w:val="3DFF04CC"/>
    <w:rsid w:val="3E815BB6"/>
    <w:rsid w:val="3ED6747E"/>
    <w:rsid w:val="3F161F71"/>
    <w:rsid w:val="3F4A5777"/>
    <w:rsid w:val="3F5B5BD6"/>
    <w:rsid w:val="3F7207EA"/>
    <w:rsid w:val="40E35E83"/>
    <w:rsid w:val="41742F7F"/>
    <w:rsid w:val="42254279"/>
    <w:rsid w:val="42FE7443"/>
    <w:rsid w:val="45140D01"/>
    <w:rsid w:val="46BB51AC"/>
    <w:rsid w:val="48A028AB"/>
    <w:rsid w:val="492B4235"/>
    <w:rsid w:val="4A235542"/>
    <w:rsid w:val="4AA06B93"/>
    <w:rsid w:val="4BE60F1D"/>
    <w:rsid w:val="4C9C2831"/>
    <w:rsid w:val="4CE06571"/>
    <w:rsid w:val="4DCA38A9"/>
    <w:rsid w:val="4F365D17"/>
    <w:rsid w:val="4F806F93"/>
    <w:rsid w:val="501A1195"/>
    <w:rsid w:val="504C2DF0"/>
    <w:rsid w:val="50DC549F"/>
    <w:rsid w:val="51875CD1"/>
    <w:rsid w:val="52081BED"/>
    <w:rsid w:val="52236EFF"/>
    <w:rsid w:val="52CA049E"/>
    <w:rsid w:val="53F35F85"/>
    <w:rsid w:val="541126B2"/>
    <w:rsid w:val="557E3F74"/>
    <w:rsid w:val="559B4B26"/>
    <w:rsid w:val="55E60E8B"/>
    <w:rsid w:val="565828B0"/>
    <w:rsid w:val="568B4B9B"/>
    <w:rsid w:val="56ED315F"/>
    <w:rsid w:val="577109C8"/>
    <w:rsid w:val="578A30A4"/>
    <w:rsid w:val="58597148"/>
    <w:rsid w:val="590F1AB3"/>
    <w:rsid w:val="593A6404"/>
    <w:rsid w:val="595C281E"/>
    <w:rsid w:val="5991071A"/>
    <w:rsid w:val="5A875D41"/>
    <w:rsid w:val="5B3D3F8A"/>
    <w:rsid w:val="5CAE513F"/>
    <w:rsid w:val="5CCC1A69"/>
    <w:rsid w:val="5D2D32F3"/>
    <w:rsid w:val="5D7843A7"/>
    <w:rsid w:val="5E055233"/>
    <w:rsid w:val="5E1436C8"/>
    <w:rsid w:val="5E473A9D"/>
    <w:rsid w:val="5E8F0FA0"/>
    <w:rsid w:val="5FB80713"/>
    <w:rsid w:val="600C6FB6"/>
    <w:rsid w:val="602B7848"/>
    <w:rsid w:val="60D34F34"/>
    <w:rsid w:val="60E92BEA"/>
    <w:rsid w:val="6110558D"/>
    <w:rsid w:val="61A84853"/>
    <w:rsid w:val="623954AB"/>
    <w:rsid w:val="634405AB"/>
    <w:rsid w:val="63CE44AC"/>
    <w:rsid w:val="650A6CF2"/>
    <w:rsid w:val="651162CA"/>
    <w:rsid w:val="653D3504"/>
    <w:rsid w:val="65905D2A"/>
    <w:rsid w:val="65AD68DC"/>
    <w:rsid w:val="66C70B33"/>
    <w:rsid w:val="679D64DC"/>
    <w:rsid w:val="68C02A57"/>
    <w:rsid w:val="68FE11FC"/>
    <w:rsid w:val="696C085C"/>
    <w:rsid w:val="6A1B17E0"/>
    <w:rsid w:val="6AFB1E97"/>
    <w:rsid w:val="6C9948C3"/>
    <w:rsid w:val="6D5835D1"/>
    <w:rsid w:val="70035E4A"/>
    <w:rsid w:val="702A0B29"/>
    <w:rsid w:val="704936A5"/>
    <w:rsid w:val="717A163C"/>
    <w:rsid w:val="749B25D9"/>
    <w:rsid w:val="7506180B"/>
    <w:rsid w:val="751B4A79"/>
    <w:rsid w:val="7543460F"/>
    <w:rsid w:val="76007D64"/>
    <w:rsid w:val="77D71596"/>
    <w:rsid w:val="78FD6DDA"/>
    <w:rsid w:val="79E409FD"/>
    <w:rsid w:val="79FE105C"/>
    <w:rsid w:val="7A100D8F"/>
    <w:rsid w:val="7A5C0769"/>
    <w:rsid w:val="7A653295"/>
    <w:rsid w:val="7AC676A0"/>
    <w:rsid w:val="7BAD7401"/>
    <w:rsid w:val="7CBE2D25"/>
    <w:rsid w:val="7CDE2C92"/>
    <w:rsid w:val="7D8B70AB"/>
    <w:rsid w:val="7DC73E5B"/>
    <w:rsid w:val="7DE0510C"/>
    <w:rsid w:val="7EAF501B"/>
    <w:rsid w:val="7F376DBE"/>
    <w:rsid w:val="7F5259A6"/>
    <w:rsid w:val="7F61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left"/>
    </w:pPr>
    <w:rPr>
      <w:rFonts w:ascii="Calibri" w:hAnsi="Calibri" w:eastAsia="宋体" w:cs="Times New Roman"/>
      <w:kern w:val="0"/>
      <w:sz w:val="24"/>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14">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5">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6">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7">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18">
    <w:name w:val="列出段落1"/>
    <w:basedOn w:val="1"/>
    <w:qFormat/>
    <w:uiPriority w:val="0"/>
    <w:pPr>
      <w:ind w:firstLine="420" w:firstLineChars="200"/>
    </w:pPr>
  </w:style>
  <w:style w:type="character" w:customStyle="1" w:styleId="19">
    <w:name w:val="font41"/>
    <w:basedOn w:val="12"/>
    <w:qFormat/>
    <w:uiPriority w:val="0"/>
    <w:rPr>
      <w:rFonts w:hint="default" w:ascii="Times New Roman" w:hAnsi="Times New Roman" w:cs="Times New Roman"/>
      <w:color w:val="000000"/>
      <w:sz w:val="22"/>
      <w:szCs w:val="22"/>
      <w:u w:val="none"/>
    </w:rPr>
  </w:style>
  <w:style w:type="character" w:customStyle="1" w:styleId="20">
    <w:name w:val="font31"/>
    <w:basedOn w:val="12"/>
    <w:qFormat/>
    <w:uiPriority w:val="0"/>
    <w:rPr>
      <w:rFonts w:hint="eastAsia" w:ascii="仿宋" w:hAnsi="仿宋" w:eastAsia="仿宋" w:cs="仿宋"/>
      <w:color w:val="000000"/>
      <w:sz w:val="22"/>
      <w:szCs w:val="22"/>
      <w:u w:val="none"/>
    </w:rPr>
  </w:style>
  <w:style w:type="character" w:customStyle="1" w:styleId="21">
    <w:name w:val="font21"/>
    <w:basedOn w:val="12"/>
    <w:qFormat/>
    <w:uiPriority w:val="0"/>
    <w:rPr>
      <w:rFonts w:hint="default" w:ascii="Times New Roman" w:hAnsi="Times New Roman" w:cs="Times New Roman"/>
      <w:color w:val="000000"/>
      <w:sz w:val="22"/>
      <w:szCs w:val="22"/>
      <w:u w:val="none"/>
    </w:rPr>
  </w:style>
  <w:style w:type="character" w:customStyle="1" w:styleId="22">
    <w:name w:val="font51"/>
    <w:basedOn w:val="12"/>
    <w:qFormat/>
    <w:uiPriority w:val="0"/>
    <w:rPr>
      <w:rFonts w:hint="eastAsia" w:ascii="仿宋_GB2312" w:eastAsia="仿宋_GB2312" w:cs="仿宋_GB2312"/>
      <w:color w:val="000000"/>
      <w:sz w:val="22"/>
      <w:szCs w:val="22"/>
      <w:u w:val="none"/>
    </w:rPr>
  </w:style>
  <w:style w:type="character" w:customStyle="1" w:styleId="23">
    <w:name w:val="font91"/>
    <w:basedOn w:val="12"/>
    <w:qFormat/>
    <w:uiPriority w:val="0"/>
    <w:rPr>
      <w:rFonts w:hint="eastAsia" w:ascii="宋体" w:hAnsi="宋体" w:eastAsia="宋体" w:cs="宋体"/>
      <w:color w:val="000000"/>
      <w:sz w:val="22"/>
      <w:szCs w:val="22"/>
      <w:u w:val="none"/>
    </w:rPr>
  </w:style>
  <w:style w:type="character" w:customStyle="1" w:styleId="24">
    <w:name w:val="font11"/>
    <w:basedOn w:val="12"/>
    <w:qFormat/>
    <w:uiPriority w:val="0"/>
    <w:rPr>
      <w:rFonts w:hint="eastAsia" w:ascii="仿宋_GB2312" w:eastAsia="仿宋_GB2312" w:cs="仿宋_GB2312"/>
      <w:b/>
      <w:bCs/>
      <w:color w:val="000000"/>
      <w:sz w:val="22"/>
      <w:szCs w:val="22"/>
      <w:u w:val="none"/>
    </w:rPr>
  </w:style>
  <w:style w:type="character" w:customStyle="1" w:styleId="25">
    <w:name w:val="font81"/>
    <w:basedOn w:val="12"/>
    <w:qFormat/>
    <w:uiPriority w:val="0"/>
    <w:rPr>
      <w:rFonts w:ascii="Calibri" w:hAnsi="Calibri" w:cs="Calibri"/>
      <w:color w:val="000000"/>
      <w:sz w:val="24"/>
      <w:szCs w:val="24"/>
      <w:u w:val="none"/>
    </w:rPr>
  </w:style>
  <w:style w:type="character" w:customStyle="1" w:styleId="26">
    <w:name w:val="font61"/>
    <w:basedOn w:val="12"/>
    <w:qFormat/>
    <w:uiPriority w:val="0"/>
    <w:rPr>
      <w:rFonts w:ascii="仿宋" w:hAnsi="仿宋" w:eastAsia="仿宋" w:cs="仿宋"/>
      <w:color w:val="000000"/>
      <w:sz w:val="22"/>
      <w:szCs w:val="22"/>
      <w:u w:val="none"/>
    </w:rPr>
  </w:style>
  <w:style w:type="character" w:customStyle="1" w:styleId="27">
    <w:name w:val="font101"/>
    <w:basedOn w:val="12"/>
    <w:qFormat/>
    <w:uiPriority w:val="0"/>
    <w:rPr>
      <w:rFonts w:hint="default" w:ascii="Segoe UI Symbol" w:hAnsi="Segoe UI Symbol" w:eastAsia="Segoe UI Symbol" w:cs="Segoe UI Symbol"/>
      <w:color w:val="000000"/>
      <w:sz w:val="22"/>
      <w:szCs w:val="22"/>
      <w:u w:val="none"/>
    </w:rPr>
  </w:style>
  <w:style w:type="character" w:customStyle="1" w:styleId="28">
    <w:name w:val="font71"/>
    <w:basedOn w:val="12"/>
    <w:qFormat/>
    <w:uiPriority w:val="0"/>
    <w:rPr>
      <w:rFonts w:hint="eastAsia" w:ascii="仿宋_GB2312" w:eastAsia="仿宋_GB2312" w:cs="仿宋_GB2312"/>
      <w:color w:val="000000"/>
      <w:sz w:val="22"/>
      <w:szCs w:val="22"/>
      <w:u w:val="none"/>
    </w:rPr>
  </w:style>
  <w:style w:type="character" w:customStyle="1" w:styleId="29">
    <w:name w:val="font112"/>
    <w:basedOn w:val="12"/>
    <w:qFormat/>
    <w:uiPriority w:val="0"/>
    <w:rPr>
      <w:rFonts w:hint="default" w:ascii="Times New Roman" w:hAnsi="Times New Roman" w:cs="Times New Roman"/>
      <w:color w:val="000000"/>
      <w:sz w:val="22"/>
      <w:szCs w:val="22"/>
      <w:u w:val="none"/>
    </w:rPr>
  </w:style>
  <w:style w:type="character" w:customStyle="1" w:styleId="30">
    <w:name w:val="font13"/>
    <w:basedOn w:val="12"/>
    <w:qFormat/>
    <w:uiPriority w:val="0"/>
    <w:rPr>
      <w:rFonts w:hint="eastAsia" w:ascii="仿宋_GB2312" w:eastAsia="仿宋_GB2312" w:cs="仿宋_GB2312"/>
      <w:b/>
      <w:bCs/>
      <w:color w:val="000000"/>
      <w:sz w:val="22"/>
      <w:szCs w:val="22"/>
      <w:u w:val="none"/>
    </w:rPr>
  </w:style>
  <w:style w:type="character" w:customStyle="1" w:styleId="31">
    <w:name w:val="font121"/>
    <w:basedOn w:val="12"/>
    <w:qFormat/>
    <w:uiPriority w:val="0"/>
    <w:rPr>
      <w:rFonts w:ascii="Calibri" w:hAnsi="Calibri" w:cs="Calibri"/>
      <w:color w:val="000000"/>
      <w:sz w:val="24"/>
      <w:szCs w:val="24"/>
      <w:u w:val="none"/>
    </w:rPr>
  </w:style>
  <w:style w:type="character" w:customStyle="1" w:styleId="32">
    <w:name w:val="font132"/>
    <w:basedOn w:val="12"/>
    <w:qFormat/>
    <w:uiPriority w:val="0"/>
    <w:rPr>
      <w:rFonts w:ascii="Segoe UI Symbol" w:hAnsi="Segoe UI Symbol" w:eastAsia="Segoe UI Symbol" w:cs="Segoe UI Symbol"/>
      <w:color w:val="000000"/>
      <w:sz w:val="22"/>
      <w:szCs w:val="22"/>
      <w:u w:val="none"/>
    </w:rPr>
  </w:style>
  <w:style w:type="character" w:customStyle="1" w:styleId="33">
    <w:name w:val="font141"/>
    <w:basedOn w:val="12"/>
    <w:qFormat/>
    <w:uiPriority w:val="0"/>
    <w:rPr>
      <w:rFonts w:hint="default" w:ascii="Segoe UI Symbol" w:hAnsi="Segoe UI Symbol" w:eastAsia="Segoe UI Symbol" w:cs="Segoe UI Symbol"/>
      <w:color w:val="000000"/>
      <w:sz w:val="22"/>
      <w:szCs w:val="22"/>
      <w:u w:val="none"/>
    </w:rPr>
  </w:style>
  <w:style w:type="character" w:customStyle="1" w:styleId="34">
    <w:name w:val="font151"/>
    <w:basedOn w:val="12"/>
    <w:qFormat/>
    <w:uiPriority w:val="0"/>
    <w:rPr>
      <w:rFonts w:hint="default" w:ascii="Times New Roman" w:hAnsi="Times New Roman" w:cs="Times New Roman"/>
      <w:color w:val="000000"/>
      <w:sz w:val="22"/>
      <w:szCs w:val="22"/>
      <w:u w:val="none"/>
    </w:rPr>
  </w:style>
  <w:style w:type="character" w:customStyle="1" w:styleId="35">
    <w:name w:val="font11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3752</Words>
  <Characters>3859</Characters>
  <Lines>0</Lines>
  <Paragraphs>0</Paragraphs>
  <TotalTime>14</TotalTime>
  <ScaleCrop>false</ScaleCrop>
  <LinksUpToDate>false</LinksUpToDate>
  <CharactersWithSpaces>3861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user</cp:lastModifiedBy>
  <cp:lastPrinted>2025-11-24T09:23:00Z</cp:lastPrinted>
  <dcterms:modified xsi:type="dcterms:W3CDTF">2025-11-25T02:10:10Z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FD64340C701741D98FF07615CA7561A3_11</vt:lpwstr>
  </property>
  <property fmtid="{D5CDD505-2E9C-101B-9397-08002B2CF9AE}" pid="4" name="KSOTemplateDocerSaveRecord">
    <vt:lpwstr>eyJoZGlkIjoiMzU2YWNjYWM0ZjQzNTYwYzEyN2VlYjEyOTY5OGUxZDciLCJ1c2VySWQiOiIxNTUxMTYxNjMwIn0=</vt:lpwstr>
  </property>
</Properties>
</file>