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p>
    <w:p>
      <w:pPr>
        <w:jc w:val="center"/>
        <w:outlineLvl w:val="9"/>
        <w:rPr>
          <w:rFonts w:hint="default" w:ascii="Times New Roman" w:hAnsi="Times New Roman" w:eastAsia="黑体" w:cs="Times New Roman"/>
          <w:b/>
          <w:bCs/>
          <w:color w:val="auto"/>
          <w:sz w:val="52"/>
          <w:szCs w:val="52"/>
          <w:highlight w:val="none"/>
          <w:lang w:val="en-US" w:eastAsia="zh-CN"/>
        </w:rPr>
      </w:pPr>
      <w:bookmarkStart w:id="0" w:name="_Toc21564"/>
      <w:bookmarkStart w:id="1" w:name="_Toc545"/>
      <w:r>
        <w:rPr>
          <w:rFonts w:hint="eastAsia" w:ascii="Times New Roman" w:hAnsi="Times New Roman" w:eastAsia="黑体" w:cs="Times New Roman"/>
          <w:b/>
          <w:bCs/>
          <w:color w:val="auto"/>
          <w:sz w:val="52"/>
          <w:szCs w:val="52"/>
          <w:highlight w:val="none"/>
          <w:lang w:val="en-US" w:eastAsia="zh-CN"/>
        </w:rPr>
        <w:t>吐鲁番市</w:t>
      </w:r>
      <w:r>
        <w:rPr>
          <w:rFonts w:hint="default" w:ascii="Times New Roman" w:hAnsi="Times New Roman" w:eastAsia="黑体" w:cs="Times New Roman"/>
          <w:b/>
          <w:bCs/>
          <w:color w:val="auto"/>
          <w:sz w:val="52"/>
          <w:szCs w:val="52"/>
          <w:highlight w:val="none"/>
          <w:lang w:val="en-US" w:eastAsia="zh-CN"/>
        </w:rPr>
        <w:t>20</w:t>
      </w:r>
      <w:r>
        <w:rPr>
          <w:rFonts w:hint="eastAsia" w:ascii="Times New Roman" w:hAnsi="Times New Roman" w:eastAsia="黑体" w:cs="Times New Roman"/>
          <w:b/>
          <w:bCs/>
          <w:color w:val="auto"/>
          <w:sz w:val="52"/>
          <w:szCs w:val="52"/>
          <w:highlight w:val="none"/>
          <w:lang w:val="en-US" w:eastAsia="zh-CN"/>
        </w:rPr>
        <w:t>24</w:t>
      </w:r>
      <w:r>
        <w:rPr>
          <w:rFonts w:hint="default" w:ascii="Times New Roman" w:hAnsi="Times New Roman" w:eastAsia="黑体" w:cs="Times New Roman"/>
          <w:b/>
          <w:bCs/>
          <w:color w:val="auto"/>
          <w:sz w:val="52"/>
          <w:szCs w:val="52"/>
          <w:highlight w:val="none"/>
          <w:lang w:val="en-US" w:eastAsia="zh-CN"/>
        </w:rPr>
        <w:t>年度</w:t>
      </w:r>
      <w:bookmarkEnd w:id="0"/>
      <w:bookmarkEnd w:id="1"/>
    </w:p>
    <w:p>
      <w:pPr>
        <w:jc w:val="center"/>
        <w:outlineLvl w:val="9"/>
        <w:rPr>
          <w:rFonts w:hint="default" w:ascii="Times New Roman" w:hAnsi="Times New Roman" w:eastAsia="黑体" w:cs="Times New Roman"/>
          <w:b/>
          <w:bCs/>
          <w:color w:val="auto"/>
          <w:sz w:val="52"/>
          <w:szCs w:val="52"/>
          <w:highlight w:val="none"/>
          <w:lang w:val="en-US" w:eastAsia="zh-CN"/>
        </w:rPr>
      </w:pPr>
      <w:bookmarkStart w:id="2" w:name="_Toc3248"/>
      <w:bookmarkStart w:id="3" w:name="_Toc4789"/>
      <w:r>
        <w:rPr>
          <w:rFonts w:hint="default" w:ascii="Times New Roman" w:hAnsi="Times New Roman" w:eastAsia="黑体" w:cs="Times New Roman"/>
          <w:b/>
          <w:bCs/>
          <w:color w:val="auto"/>
          <w:sz w:val="52"/>
          <w:szCs w:val="52"/>
          <w:highlight w:val="none"/>
          <w:lang w:val="en-US" w:eastAsia="zh-CN"/>
        </w:rPr>
        <w:t>预算绩效评价报告</w:t>
      </w:r>
      <w:bookmarkEnd w:id="2"/>
      <w:bookmarkEnd w:id="3"/>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center"/>
        <w:rPr>
          <w:rFonts w:hint="default" w:ascii="Times New Roman" w:hAnsi="Times New Roman" w:eastAsia="方正小标宋_GBK" w:cs="Times New Roman"/>
          <w:b/>
          <w:bCs/>
          <w:color w:val="auto"/>
          <w:sz w:val="48"/>
          <w:szCs w:val="48"/>
          <w:highlight w:val="none"/>
          <w:lang w:val="en-US" w:eastAsia="zh-CN"/>
        </w:rPr>
      </w:pPr>
    </w:p>
    <w:p>
      <w:pPr>
        <w:jc w:val="left"/>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项目名称：2024年度纤维公证检验经费</w:t>
      </w:r>
    </w:p>
    <w:p>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项目单位：吐鲁番市纤维检验所</w:t>
      </w:r>
    </w:p>
    <w:p>
      <w:pPr>
        <w:ind w:firstLine="640" w:firstLineChars="200"/>
        <w:jc w:val="left"/>
        <w:rPr>
          <w:rFonts w:hint="eastAsia" w:ascii="Times New Roman" w:hAnsi="Times New Roman" w:eastAsia="黑体" w:cs="黑体"/>
          <w:b w:val="0"/>
          <w:bCs w:val="0"/>
          <w:color w:val="auto"/>
          <w:sz w:val="32"/>
          <w:szCs w:val="32"/>
          <w:highlight w:val="none"/>
          <w:lang w:val="en-US" w:eastAsia="zh-CN"/>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主管部门：</w:t>
      </w:r>
      <w:r>
        <w:rPr>
          <w:rFonts w:hint="eastAsia" w:ascii="Times New Roman" w:hAnsi="Times New Roman" w:eastAsia="黑体" w:cs="黑体"/>
          <w:kern w:val="0"/>
          <w:sz w:val="32"/>
          <w:szCs w:val="32"/>
          <w:lang w:eastAsia="zh-CN"/>
        </w:rPr>
        <w:t>吐鲁番市市场监督管理局</w:t>
      </w:r>
    </w:p>
    <w:p>
      <w:pPr>
        <w:snapToGrid/>
        <w:spacing w:before="120" w:beforeAutospacing="0" w:after="120" w:afterAutospacing="0" w:line="360" w:lineRule="auto"/>
        <w:ind w:firstLine="640" w:firstLineChars="200"/>
        <w:jc w:val="left"/>
        <w:textAlignment w:val="baseline"/>
        <w:rPr>
          <w:rStyle w:val="14"/>
          <w:rFonts w:hint="eastAsia" w:ascii="Times New Roman" w:hAnsi="Times New Roman" w:eastAsia="黑体" w:cs="Times New Roman"/>
          <w:b w:val="0"/>
          <w:i w:val="0"/>
          <w:caps w:val="0"/>
          <w:color w:val="auto"/>
          <w:spacing w:val="0"/>
          <w:w w:val="100"/>
          <w:kern w:val="0"/>
          <w:sz w:val="32"/>
          <w:szCs w:val="32"/>
          <w:highlight w:val="none"/>
          <w:lang w:val="en-US" w:eastAsia="zh-CN" w:bidi="en-US"/>
        </w:rPr>
      </w:pPr>
      <w:r>
        <w:rPr>
          <w:rStyle w:val="14"/>
          <w:rFonts w:hint="default" w:ascii="Times New Roman" w:hAnsi="Times New Roman" w:eastAsia="黑体" w:cs="Times New Roman"/>
          <w:b w:val="0"/>
          <w:i w:val="0"/>
          <w:caps w:val="0"/>
          <w:color w:val="auto"/>
          <w:spacing w:val="0"/>
          <w:w w:val="100"/>
          <w:kern w:val="0"/>
          <w:sz w:val="32"/>
          <w:szCs w:val="32"/>
          <w:highlight w:val="none"/>
          <w:lang w:val="en-US" w:eastAsia="zh-CN" w:bidi="en-US"/>
        </w:rPr>
        <w:t>委托单位：</w:t>
      </w:r>
      <w:r>
        <w:rPr>
          <w:rFonts w:hint="eastAsia" w:ascii="Times New Roman" w:hAnsi="Times New Roman" w:eastAsia="黑体" w:cs="黑体"/>
          <w:i w:val="0"/>
          <w:iCs w:val="0"/>
          <w:caps w:val="0"/>
          <w:spacing w:val="0"/>
          <w:sz w:val="32"/>
          <w:szCs w:val="32"/>
          <w:shd w:val="clear" w:fill="FFFFFF"/>
        </w:rPr>
        <w:t>吐鲁番市财政局</w:t>
      </w:r>
    </w:p>
    <w:p>
      <w:pPr>
        <w:ind w:firstLine="640" w:firstLineChars="200"/>
        <w:jc w:val="left"/>
        <w:rPr>
          <w:rFonts w:hint="eastAsia"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评价机构：</w:t>
      </w:r>
      <w:r>
        <w:rPr>
          <w:rFonts w:ascii="Times New Roman" w:hAnsi="Times New Roman" w:eastAsia="黑体"/>
          <w:sz w:val="32"/>
          <w:szCs w:val="32"/>
        </w:rPr>
        <w:t>新疆财讯睿智信息咨询有限公司</w:t>
      </w:r>
    </w:p>
    <w:p>
      <w:pPr>
        <w:jc w:val="center"/>
        <w:rPr>
          <w:rFonts w:hint="default" w:ascii="Times New Roman" w:hAnsi="Times New Roman" w:eastAsia="黑体" w:cs="Times New Roman"/>
          <w:b w:val="0"/>
          <w:bCs w:val="0"/>
          <w:color w:val="auto"/>
          <w:sz w:val="32"/>
          <w:szCs w:val="32"/>
          <w:highlight w:val="none"/>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imes New Roman" w:hAnsi="Times New Roman" w:eastAsia="黑体" w:cs="Times New Roman"/>
          <w:b w:val="0"/>
          <w:bCs w:val="0"/>
          <w:color w:val="auto"/>
          <w:sz w:val="32"/>
          <w:szCs w:val="32"/>
          <w:highlight w:val="none"/>
          <w:lang w:val="en-US" w:eastAsia="zh-CN"/>
        </w:rPr>
        <w:t>2025</w:t>
      </w:r>
      <w:r>
        <w:rPr>
          <w:rFonts w:hint="default" w:ascii="Times New Roman" w:hAnsi="Times New Roman" w:eastAsia="黑体" w:cs="Times New Roman"/>
          <w:b w:val="0"/>
          <w:bCs w:val="0"/>
          <w:color w:val="auto"/>
          <w:sz w:val="32"/>
          <w:szCs w:val="32"/>
          <w:highlight w:val="none"/>
          <w:lang w:val="en-US" w:eastAsia="zh-CN"/>
        </w:rPr>
        <w:t>年</w:t>
      </w:r>
      <w:r>
        <w:rPr>
          <w:rFonts w:hint="eastAsia" w:ascii="Times New Roman" w:hAnsi="Times New Roman" w:eastAsia="黑体" w:cs="Times New Roman"/>
          <w:b w:val="0"/>
          <w:bCs w:val="0"/>
          <w:color w:val="auto"/>
          <w:sz w:val="32"/>
          <w:szCs w:val="32"/>
          <w:highlight w:val="none"/>
          <w:lang w:val="en-US" w:eastAsia="zh-CN"/>
        </w:rPr>
        <w:t>7</w:t>
      </w:r>
      <w:r>
        <w:rPr>
          <w:rFonts w:hint="default" w:ascii="Times New Roman" w:hAnsi="Times New Roman" w:eastAsia="黑体" w:cs="Times New Roman"/>
          <w:b w:val="0"/>
          <w:bCs w:val="0"/>
          <w:color w:val="auto"/>
          <w:sz w:val="32"/>
          <w:szCs w:val="32"/>
          <w:highlight w:val="none"/>
          <w:lang w:val="en-US" w:eastAsia="zh-CN"/>
        </w:rPr>
        <w:t>月</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kern w:val="0"/>
          <w:sz w:val="32"/>
          <w:szCs w:val="32"/>
          <w:highlight w:val="none"/>
          <w:lang w:val="en-US" w:eastAsia="zh-CN" w:bidi="en-US"/>
        </w:rPr>
      </w:pPr>
      <w:bookmarkStart w:id="4" w:name="_Toc21206"/>
      <w:bookmarkStart w:id="5" w:name="_Toc5571"/>
      <w:r>
        <w:rPr>
          <w:rFonts w:hint="default" w:ascii="Times New Roman" w:hAnsi="Times New Roman" w:eastAsia="黑体" w:cs="Times New Roman"/>
          <w:b w:val="0"/>
          <w:bCs w:val="0"/>
          <w:color w:val="auto"/>
          <w:kern w:val="0"/>
          <w:sz w:val="32"/>
          <w:szCs w:val="32"/>
          <w:highlight w:val="none"/>
          <w:lang w:bidi="en-US"/>
        </w:rPr>
        <w:t>项目</w:t>
      </w:r>
      <w:r>
        <w:rPr>
          <w:rFonts w:hint="default" w:ascii="Times New Roman" w:hAnsi="Times New Roman" w:eastAsia="黑体" w:cs="Times New Roman"/>
          <w:b w:val="0"/>
          <w:bCs w:val="0"/>
          <w:color w:val="auto"/>
          <w:kern w:val="0"/>
          <w:sz w:val="32"/>
          <w:szCs w:val="32"/>
          <w:highlight w:val="none"/>
          <w:lang w:val="en-US" w:eastAsia="zh-CN" w:bidi="en-US"/>
        </w:rPr>
        <w:t>概述</w:t>
      </w:r>
      <w:bookmarkEnd w:id="4"/>
      <w:bookmarkEnd w:id="5"/>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kern w:val="0"/>
          <w:sz w:val="32"/>
          <w:szCs w:val="32"/>
          <w:lang w:val="en-US" w:eastAsia="zh-CN" w:bidi="ar"/>
        </w:rPr>
        <w:t>（一）</w:t>
      </w:r>
      <w:r>
        <w:rPr>
          <w:rFonts w:hint="default" w:ascii="Times New Roman" w:hAnsi="Times New Roman" w:eastAsia="楷体" w:cs="Times New Roman"/>
          <w:b/>
          <w:bCs/>
          <w:color w:val="auto"/>
          <w:sz w:val="32"/>
          <w:szCs w:val="32"/>
          <w:highlight w:val="none"/>
          <w:lang w:val="en-US" w:eastAsia="zh-CN"/>
        </w:rPr>
        <w:t>项目概述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1F2329"/>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棉花质量公证检验是指专业纤维检验机构按照国家标准和技术规范对棉花的质量、数量进行检验并出具公证检验证书的活动。</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rPr>
        <w:t>棉花质量监督管理条例》（2001年国务院令第314号）规定</w:t>
      </w:r>
      <w:r>
        <w:rPr>
          <w:rFonts w:hint="default" w:ascii="Times New Roman" w:hAnsi="Times New Roman" w:eastAsia="仿宋_GB2312" w:cs="Times New Roman"/>
          <w:i w:val="0"/>
          <w:iCs w:val="0"/>
          <w:caps w:val="0"/>
          <w:color w:val="auto"/>
          <w:spacing w:val="0"/>
          <w:sz w:val="32"/>
          <w:szCs w:val="32"/>
          <w:shd w:val="clear" w:fill="FFFFFF"/>
        </w:rPr>
        <w:t>棉花经营者向用棉企业销售棉花交</w:t>
      </w:r>
      <w:r>
        <w:rPr>
          <w:rFonts w:hint="default" w:ascii="Times New Roman" w:hAnsi="Times New Roman" w:eastAsia="仿宋_GB2312" w:cs="Times New Roman"/>
          <w:i w:val="0"/>
          <w:iCs w:val="0"/>
          <w:caps w:val="0"/>
          <w:color w:val="auto"/>
          <w:spacing w:val="0"/>
          <w:sz w:val="32"/>
          <w:szCs w:val="32"/>
          <w:shd w:val="clear" w:fill="FFFFFF"/>
          <w:lang w:eastAsia="zh-CN"/>
        </w:rPr>
        <w:t>易的</w:t>
      </w:r>
      <w:r>
        <w:rPr>
          <w:rFonts w:hint="default" w:ascii="Times New Roman" w:hAnsi="Times New Roman" w:eastAsia="仿宋_GB2312" w:cs="Times New Roman"/>
          <w:i w:val="0"/>
          <w:iCs w:val="0"/>
          <w:caps w:val="0"/>
          <w:color w:val="auto"/>
          <w:spacing w:val="0"/>
          <w:sz w:val="32"/>
          <w:szCs w:val="32"/>
          <w:shd w:val="clear" w:fill="FFFFFF"/>
        </w:rPr>
        <w:t>任何一方在棉花交易结算前可以委托专业纤维检验机构对所交易的棉花进行公证检验；国家储备棉的入库、出库必须经棉花质量公证检验。财政部和市场监管总局制定了《国家棉花等纤维公证检验经费管理暂行办法》用以加强公证检验经费的使用管理提高资金使用效益保障国家棉花等纤维公证检验工作的顺利进行。每年由国家市场监督管理总局所属中国纤维质量监测中心下达棉花公证检验工作安排</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由各地专业纤维检验机构在其管辖范围内对棉花质量实施公证检验。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随着市场对纤维产品质量要求的不断提升，纤维产业在吐鲁番市的经济结构中占据一定比重，棉花、麻类等纤维作物的种植以及相关纺织产业的发展，对当地经济增长、就业促进具有重要意义。</w:t>
      </w:r>
      <w:r>
        <w:rPr>
          <w:rFonts w:hint="default" w:ascii="Times New Roman" w:hAnsi="Times New Roman" w:eastAsia="仿宋_GB2312" w:cs="Times New Roman"/>
          <w:lang w:val="en-US" w:eastAsia="zh-CN"/>
        </w:rPr>
        <w:t>随着</w:t>
      </w:r>
      <w:r>
        <w:rPr>
          <w:rFonts w:hint="default" w:ascii="Times New Roman" w:hAnsi="Times New Roman" w:eastAsia="仿宋_GB2312" w:cs="Times New Roman"/>
        </w:rPr>
        <w:t>相关质量监管政策的</w:t>
      </w:r>
      <w:r>
        <w:rPr>
          <w:rFonts w:hint="default" w:ascii="Times New Roman" w:hAnsi="Times New Roman" w:eastAsia="仿宋_GB2312" w:cs="Times New Roman"/>
          <w:lang w:val="en-US" w:eastAsia="zh-CN"/>
        </w:rPr>
        <w:t>日</w:t>
      </w:r>
      <w:r>
        <w:rPr>
          <w:rFonts w:hint="default" w:ascii="Times New Roman" w:hAnsi="Times New Roman" w:eastAsia="仿宋_GB2312" w:cs="Times New Roman"/>
        </w:rPr>
        <w:t>益严格，吐鲁番市纤维检验所承担着愈发关键的职责，需通过专业的检验检测工作，为纤维市场提供准确可靠的质量数据，维护市场秩序，保障产业健康发展。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eastAsia" w:ascii="Times New Roman" w:hAnsi="Times New Roman" w:eastAsia="楷体" w:cs="Times New Roman"/>
          <w:b/>
          <w:bCs/>
          <w:color w:val="auto"/>
          <w:sz w:val="32"/>
          <w:szCs w:val="32"/>
          <w:highlight w:val="none"/>
          <w:lang w:val="en-US" w:eastAsia="zh-CN"/>
        </w:rPr>
      </w:pPr>
      <w:r>
        <w:rPr>
          <w:rFonts w:hint="eastAsia" w:ascii="Times New Roman" w:hAnsi="Times New Roman" w:eastAsia="楷体" w:cs="Times New Roman"/>
          <w:b/>
          <w:bCs/>
          <w:color w:val="auto"/>
          <w:sz w:val="32"/>
          <w:szCs w:val="32"/>
          <w:highlight w:val="none"/>
          <w:lang w:val="en-US" w:eastAsia="zh-CN"/>
        </w:rPr>
        <w:t>（二）</w:t>
      </w:r>
      <w:r>
        <w:rPr>
          <w:rFonts w:hint="default" w:ascii="Times New Roman" w:hAnsi="Times New Roman" w:eastAsia="楷体" w:cs="Times New Roman"/>
          <w:b/>
          <w:bCs/>
          <w:color w:val="auto"/>
          <w:sz w:val="32"/>
          <w:szCs w:val="32"/>
          <w:highlight w:val="none"/>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吐鲁番市2024年度纤维公证检验经费项目，截止目前棉花重量检验量、棉花品质检验量、维护保养一台实验室恒温恒湿机组、购置快速棉纤维性能测试仪设备等工作任务全部完成。</w:t>
      </w:r>
      <w:r>
        <w:rPr>
          <w:rFonts w:hint="default" w:ascii="Times New Roman" w:hAnsi="Times New Roman" w:eastAsia="仿宋_GB2312" w:cs="Times New Roman"/>
          <w:color w:val="auto"/>
          <w:kern w:val="0"/>
          <w:sz w:val="32"/>
          <w:szCs w:val="32"/>
          <w:lang w:val="en-US" w:eastAsia="zh-CN" w:bidi="ar"/>
        </w:rPr>
        <w:t>通过</w:t>
      </w:r>
      <w:r>
        <w:rPr>
          <w:rFonts w:hint="default" w:ascii="Times New Roman" w:hAnsi="Times New Roman" w:eastAsia="仿宋_GB2312" w:cs="Times New Roman"/>
          <w:color w:val="auto"/>
          <w:sz w:val="32"/>
          <w:szCs w:val="32"/>
          <w:lang w:val="en-US" w:eastAsia="zh-CN"/>
        </w:rPr>
        <w:t>项目持续实施，有效实施棉花公证检验，促进新疆棉花质量稳步提升和市场竞争力提高，不断巩固和扩大产业优势。加强棉花收购、加工、销售各环节质量监管，严控</w:t>
      </w:r>
      <w:r>
        <w:rPr>
          <w:rFonts w:hint="eastAsia" w:ascii="Times New Roman" w:hAnsi="Times New Roman" w:cs="Times New Roman"/>
          <w:color w:val="auto"/>
          <w:sz w:val="32"/>
          <w:szCs w:val="32"/>
          <w:lang w:val="en-US" w:eastAsia="zh-CN"/>
        </w:rPr>
        <w:t>异型</w:t>
      </w:r>
      <w:r>
        <w:rPr>
          <w:rFonts w:hint="default" w:ascii="Times New Roman" w:hAnsi="Times New Roman" w:eastAsia="仿宋_GB2312" w:cs="Times New Roman"/>
          <w:color w:val="auto"/>
          <w:sz w:val="32"/>
          <w:szCs w:val="32"/>
          <w:lang w:val="en-US" w:eastAsia="zh-CN"/>
        </w:rPr>
        <w:t>纤维混入，持续提升产业基础能力和产业链水平，推行绿色制造和清洁生产，加快标准化和质量提升，带动全市制造业质量水平整体提升。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（三）绩效目标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1.总目标</w:t>
      </w:r>
    </w:p>
    <w:p>
      <w:pPr>
        <w:keepNext w:val="0"/>
        <w:keepLines w:val="0"/>
        <w:pageBreakBefore w:val="0"/>
        <w:widowControl/>
        <w:kinsoku/>
        <w:wordWrap/>
        <w:overflowPunct w:val="0"/>
        <w:topLinePunct w:val="0"/>
        <w:autoSpaceDE w:val="0"/>
        <w:autoSpaceDN w:val="0"/>
        <w:bidi w:val="0"/>
        <w:adjustRightInd w:val="0"/>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全力推行棉花质量体系改革，确保纤维质量稳定，促进新疆吐鲁番纤维产业健康发展，为国家和轧花企业提供专业的棉花检验数据，保证检验数据客观、</w:t>
      </w:r>
      <w:r>
        <w:rPr>
          <w:rFonts w:hint="eastAsia" w:ascii="Times New Roman" w:hAnsi="Times New Roman" w:cs="Times New Roman"/>
          <w:b w:val="0"/>
          <w:bCs/>
          <w:color w:val="auto"/>
          <w:kern w:val="0"/>
          <w:sz w:val="32"/>
          <w:szCs w:val="32"/>
          <w:highlight w:val="none"/>
          <w:lang w:val="en-US" w:eastAsia="zh-CN" w:bidi="ar"/>
        </w:rPr>
        <w:t>公正</w:t>
      </w:r>
      <w:r>
        <w:rPr>
          <w:rFonts w:hint="default" w:ascii="Times New Roman" w:hAnsi="Times New Roman" w:eastAsia="仿宋_GB2312" w:cs="Times New Roman"/>
          <w:b w:val="0"/>
          <w:bCs/>
          <w:color w:val="auto"/>
          <w:kern w:val="0"/>
          <w:sz w:val="32"/>
          <w:szCs w:val="32"/>
          <w:highlight w:val="none"/>
          <w:lang w:val="en-US" w:eastAsia="zh-CN" w:bidi="ar"/>
        </w:rPr>
        <w:t>、及时。2024年度公检经费主要用于棉花公证检验实验室和入库公证检验的检验仪器等设备购置、运维费、信息网络建设及运维费、仪器设备检定费、维修费、样品运输费、标准校准样品费、电信邮资费、劳务费、差旅费、培训费、水电供暖、业务管理费、实验室建设及维护费用等其他检验方面的开支。</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lang w:val="en-US" w:eastAsia="zh-CN" w:bidi="ar"/>
        </w:rPr>
        <w:t>2.</w:t>
      </w:r>
      <w:r>
        <w:rPr>
          <w:rFonts w:hint="default" w:ascii="Times New Roman" w:hAnsi="Times New Roman" w:eastAsia="仿宋_GB2312" w:cs="Times New Roman"/>
          <w:b w:val="0"/>
          <w:bCs/>
          <w:color w:val="auto"/>
          <w:kern w:val="0"/>
          <w:sz w:val="32"/>
          <w:szCs w:val="32"/>
          <w:highlight w:val="none"/>
          <w:lang w:val="en-US" w:eastAsia="zh-CN" w:bidi="ar"/>
        </w:rPr>
        <w:t>年度绩效目标</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beforeAutospacing="0" w:afterAutospacing="0" w:line="560" w:lineRule="exact"/>
        <w:ind w:firstLine="640" w:firstLineChars="200"/>
        <w:jc w:val="both"/>
        <w:textAlignment w:val="baseline"/>
        <w:outlineLvl w:val="9"/>
        <w:rPr>
          <w:rFonts w:hint="default" w:ascii="Times New Roman" w:hAnsi="Times New Roman" w:eastAsia="仿宋_GB2312" w:cs="Times New Roman"/>
          <w:b w:val="0"/>
          <w:kern w:val="0"/>
          <w:sz w:val="32"/>
          <w:szCs w:val="32"/>
          <w:highlight w:val="none"/>
          <w:lang w:val="zh-CN" w:eastAsia="zh-CN" w:bidi="en-US"/>
        </w:rPr>
      </w:pPr>
      <w:r>
        <w:rPr>
          <w:rFonts w:hint="default" w:ascii="Times New Roman" w:hAnsi="Times New Roman" w:eastAsia="仿宋_GB2312" w:cs="Times New Roman"/>
          <w:b w:val="0"/>
          <w:kern w:val="0"/>
          <w:sz w:val="32"/>
          <w:szCs w:val="32"/>
          <w:highlight w:val="none"/>
          <w:lang w:val="zh-CN" w:eastAsia="zh-CN" w:bidi="en-US"/>
        </w:rPr>
        <w:t>根据《</w:t>
      </w:r>
      <w:r>
        <w:rPr>
          <w:rFonts w:hint="default" w:ascii="Times New Roman" w:hAnsi="Times New Roman" w:eastAsia="仿宋_GB2312" w:cs="Times New Roman"/>
          <w:b w:val="0"/>
          <w:kern w:val="0"/>
          <w:sz w:val="32"/>
          <w:szCs w:val="32"/>
          <w:highlight w:val="none"/>
          <w:lang w:val="en-US" w:eastAsia="zh-CN" w:bidi="en-US"/>
        </w:rPr>
        <w:t>2024年度纤维公证检验经费</w:t>
      </w:r>
      <w:r>
        <w:rPr>
          <w:rFonts w:hint="default" w:ascii="Times New Roman" w:hAnsi="Times New Roman" w:eastAsia="仿宋_GB2312" w:cs="Times New Roman"/>
          <w:b w:val="0"/>
          <w:kern w:val="0"/>
          <w:sz w:val="32"/>
          <w:szCs w:val="32"/>
          <w:highlight w:val="none"/>
          <w:lang w:val="zh-CN" w:eastAsia="zh-CN" w:bidi="en-US"/>
        </w:rPr>
        <w:t>项目绩效目标申报表》，本专项资金202</w:t>
      </w:r>
      <w:r>
        <w:rPr>
          <w:rFonts w:hint="default" w:ascii="Times New Roman" w:hAnsi="Times New Roman" w:eastAsia="仿宋_GB2312" w:cs="Times New Roman"/>
          <w:b w:val="0"/>
          <w:kern w:val="0"/>
          <w:sz w:val="32"/>
          <w:szCs w:val="32"/>
          <w:highlight w:val="none"/>
          <w:lang w:val="en-US" w:eastAsia="zh-CN" w:bidi="en-US"/>
        </w:rPr>
        <w:t>4</w:t>
      </w:r>
      <w:r>
        <w:rPr>
          <w:rFonts w:hint="default" w:ascii="Times New Roman" w:hAnsi="Times New Roman" w:eastAsia="仿宋_GB2312" w:cs="Times New Roman"/>
          <w:b w:val="0"/>
          <w:kern w:val="0"/>
          <w:sz w:val="32"/>
          <w:szCs w:val="32"/>
          <w:highlight w:val="none"/>
          <w:lang w:val="zh-CN" w:eastAsia="zh-CN" w:bidi="en-US"/>
        </w:rPr>
        <w:t>年度绩效目标如下：</w:t>
      </w:r>
    </w:p>
    <w:p>
      <w:pPr>
        <w:keepNext w:val="0"/>
        <w:keepLines w:val="0"/>
        <w:pageBreakBefore w:val="0"/>
        <w:widowControl/>
        <w:kinsoku/>
        <w:wordWrap/>
        <w:overflowPunct/>
        <w:topLinePunct w:val="0"/>
        <w:autoSpaceDE/>
        <w:autoSpaceDN/>
        <w:bidi w:val="0"/>
        <w:adjustRightInd/>
        <w:snapToGrid/>
        <w:spacing w:line="460" w:lineRule="exact"/>
        <w:ind w:firstLine="562" w:firstLineChars="200"/>
        <w:jc w:val="center"/>
        <w:textAlignment w:val="auto"/>
        <w:rPr>
          <w:rFonts w:hint="eastAsia" w:ascii="Times New Roman" w:hAnsi="Times New Roman" w:eastAsia="仿宋_GB2312" w:cs="仿宋_GB2312"/>
          <w:b/>
          <w:bCs/>
          <w:kern w:val="0"/>
          <w:sz w:val="28"/>
          <w:szCs w:val="28"/>
          <w:highlight w:val="none"/>
          <w:lang w:val="en-US" w:eastAsia="zh-CN" w:bidi="en-US"/>
        </w:rPr>
      </w:pPr>
      <w:r>
        <w:rPr>
          <w:rFonts w:hint="eastAsia" w:ascii="Times New Roman" w:hAnsi="Times New Roman" w:eastAsia="仿宋_GB2312" w:cs="仿宋_GB2312"/>
          <w:b/>
          <w:bCs/>
          <w:kern w:val="0"/>
          <w:sz w:val="28"/>
          <w:szCs w:val="28"/>
          <w:highlight w:val="none"/>
          <w:lang w:val="en-US" w:eastAsia="zh-CN" w:bidi="en-US"/>
        </w:rPr>
        <w:t>表1-</w:t>
      </w:r>
      <w:r>
        <w:rPr>
          <w:rFonts w:hint="eastAsia" w:ascii="Times New Roman" w:hAnsi="Times New Roman" w:cs="仿宋_GB2312"/>
          <w:b/>
          <w:bCs/>
          <w:kern w:val="0"/>
          <w:sz w:val="28"/>
          <w:szCs w:val="28"/>
          <w:highlight w:val="none"/>
          <w:lang w:val="en-US" w:eastAsia="zh-CN" w:bidi="en-US"/>
        </w:rPr>
        <w:t>1</w:t>
      </w:r>
      <w:r>
        <w:rPr>
          <w:rFonts w:hint="eastAsia" w:ascii="Times New Roman" w:hAnsi="Times New Roman" w:eastAsia="仿宋_GB2312" w:cs="仿宋_GB2312"/>
          <w:b/>
          <w:bCs/>
          <w:kern w:val="0"/>
          <w:sz w:val="28"/>
          <w:szCs w:val="28"/>
          <w:highlight w:val="none"/>
          <w:lang w:val="en-US" w:eastAsia="zh-CN" w:bidi="en-US"/>
        </w:rPr>
        <w:t xml:space="preserve">  2024年度纤维公证检验经费</w:t>
      </w:r>
      <w:r>
        <w:rPr>
          <w:rFonts w:hint="eastAsia" w:ascii="Times New Roman" w:hAnsi="Times New Roman" w:eastAsia="仿宋_GB2312" w:cs="仿宋_GB2312"/>
          <w:b/>
          <w:bCs/>
          <w:kern w:val="0"/>
          <w:sz w:val="28"/>
          <w:szCs w:val="28"/>
          <w:highlight w:val="none"/>
          <w:lang w:val="zh-CN" w:eastAsia="zh-CN" w:bidi="en-US"/>
        </w:rPr>
        <w:t>项目绩效目标申报表</w:t>
      </w:r>
    </w:p>
    <w:tbl>
      <w:tblPr>
        <w:tblStyle w:val="10"/>
        <w:tblW w:w="4825" w:type="pct"/>
        <w:jc w:val="center"/>
        <w:tblLayout w:type="autofit"/>
        <w:tblCellMar>
          <w:top w:w="0" w:type="dxa"/>
          <w:left w:w="108" w:type="dxa"/>
          <w:bottom w:w="0" w:type="dxa"/>
          <w:right w:w="108" w:type="dxa"/>
        </w:tblCellMar>
      </w:tblPr>
      <w:tblGrid>
        <w:gridCol w:w="2175"/>
        <w:gridCol w:w="2297"/>
        <w:gridCol w:w="3752"/>
      </w:tblGrid>
      <w:tr>
        <w:tblPrEx>
          <w:tblCellMar>
            <w:top w:w="0" w:type="dxa"/>
            <w:left w:w="108" w:type="dxa"/>
            <w:bottom w:w="0" w:type="dxa"/>
            <w:right w:w="108" w:type="dxa"/>
          </w:tblCellMar>
        </w:tblPrEx>
        <w:trPr>
          <w:trHeight w:val="397" w:hRule="atLeast"/>
          <w:tblHeader/>
          <w:jc w:val="center"/>
        </w:trPr>
        <w:tc>
          <w:tcPr>
            <w:tcW w:w="1322"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Times New Roman Regular"/>
                <w:b/>
                <w:bCs/>
                <w:color w:val="000000"/>
                <w:sz w:val="22"/>
                <w:szCs w:val="22"/>
              </w:rPr>
            </w:pPr>
            <w:r>
              <w:rPr>
                <w:rFonts w:hint="eastAsia" w:ascii="Times New Roman" w:hAnsi="Times New Roman" w:eastAsia="仿宋_GB2312" w:cs="Times New Roman Regular"/>
                <w:b/>
                <w:bCs/>
                <w:color w:val="000000"/>
                <w:sz w:val="22"/>
                <w:szCs w:val="22"/>
                <w:lang w:bidi="ar"/>
              </w:rPr>
              <w:t>一级指标</w:t>
            </w:r>
          </w:p>
        </w:tc>
        <w:tc>
          <w:tcPr>
            <w:tcW w:w="1396"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Times New Roman Regular"/>
                <w:b/>
                <w:bCs/>
                <w:color w:val="000000"/>
                <w:sz w:val="22"/>
                <w:szCs w:val="22"/>
              </w:rPr>
            </w:pPr>
            <w:r>
              <w:rPr>
                <w:rFonts w:hint="eastAsia" w:ascii="Times New Roman" w:hAnsi="Times New Roman" w:eastAsia="仿宋_GB2312" w:cs="Times New Roman Regular"/>
                <w:b/>
                <w:bCs/>
                <w:color w:val="000000"/>
                <w:sz w:val="22"/>
                <w:szCs w:val="22"/>
                <w:lang w:bidi="ar"/>
              </w:rPr>
              <w:t>二级指标</w:t>
            </w:r>
          </w:p>
        </w:tc>
        <w:tc>
          <w:tcPr>
            <w:tcW w:w="2280" w:type="pct"/>
            <w:tcBorders>
              <w:top w:val="single" w:color="000000" w:sz="4" w:space="0"/>
              <w:left w:val="single" w:color="000000" w:sz="4" w:space="0"/>
              <w:bottom w:val="single" w:color="000000" w:sz="4" w:space="0"/>
              <w:right w:val="single" w:color="000000" w:sz="4" w:space="0"/>
            </w:tcBorders>
            <w:shd w:val="clear" w:color="auto" w:fill="AEAAAA" w:themeFill="background2" w:themeFillShade="BF"/>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Times New Roman Regular"/>
                <w:b/>
                <w:bCs/>
                <w:color w:val="000000"/>
                <w:sz w:val="22"/>
                <w:szCs w:val="22"/>
              </w:rPr>
            </w:pPr>
            <w:r>
              <w:rPr>
                <w:rFonts w:hint="eastAsia" w:ascii="Times New Roman" w:hAnsi="Times New Roman" w:eastAsia="仿宋_GB2312" w:cs="Times New Roman Regular"/>
                <w:b/>
                <w:bCs/>
                <w:color w:val="000000"/>
                <w:sz w:val="22"/>
                <w:szCs w:val="22"/>
                <w:lang w:bidi="ar"/>
              </w:rPr>
              <w:t>三级指标</w:t>
            </w:r>
          </w:p>
        </w:tc>
      </w:tr>
      <w:tr>
        <w:tblPrEx>
          <w:tblCellMar>
            <w:top w:w="0" w:type="dxa"/>
            <w:left w:w="108" w:type="dxa"/>
            <w:bottom w:w="0" w:type="dxa"/>
            <w:right w:w="108" w:type="dxa"/>
          </w:tblCellMar>
        </w:tblPrEx>
        <w:trPr>
          <w:trHeight w:val="397" w:hRule="atLeast"/>
          <w:jc w:val="center"/>
        </w:trPr>
        <w:tc>
          <w:tcPr>
            <w:tcW w:w="1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产出指标</w:t>
            </w:r>
          </w:p>
        </w:tc>
        <w:tc>
          <w:tcPr>
            <w:tcW w:w="1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数量指标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棉花重量检验量</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棉花品质检验量</w:t>
            </w:r>
          </w:p>
        </w:tc>
      </w:tr>
      <w:tr>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实验室恒温恒湿机组维护保养数量</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设备购置数量</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质量指标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棉花公证检验复检率</w:t>
            </w:r>
          </w:p>
        </w:tc>
      </w:tr>
      <w:tr>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仿宋_GB2312"/>
                <w:color w:val="000000"/>
                <w:kern w:val="0"/>
                <w:sz w:val="22"/>
                <w:szCs w:val="22"/>
                <w:lang w:val="en-US" w:eastAsia="zh-CN" w:bidi="ar"/>
              </w:rPr>
            </w:pPr>
            <w:r>
              <w:rPr>
                <w:rFonts w:hint="eastAsia" w:ascii="Times New Roman" w:hAnsi="Times New Roman" w:eastAsia="仿宋_GB2312" w:cs="仿宋_GB2312"/>
                <w:i w:val="0"/>
                <w:iCs w:val="0"/>
                <w:color w:val="000000"/>
                <w:kern w:val="0"/>
                <w:sz w:val="22"/>
                <w:szCs w:val="22"/>
                <w:u w:val="none"/>
                <w:lang w:val="en-US" w:eastAsia="zh-CN" w:bidi="ar"/>
              </w:rPr>
              <w:t>棉花品质检验相符率较全国平均水平</w:t>
            </w:r>
          </w:p>
        </w:tc>
      </w:tr>
      <w:tr>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sz w:val="22"/>
                <w:szCs w:val="22"/>
                <w:highlight w:val="none"/>
              </w:rPr>
            </w:pPr>
          </w:p>
        </w:tc>
        <w:tc>
          <w:tcPr>
            <w:tcW w:w="1396" w:type="pct"/>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default" w:ascii="Times New Roman" w:hAnsi="Times New Roman" w:eastAsia="仿宋_GB2312" w:cs="仿宋_GB2312"/>
                <w:color w:val="000000"/>
                <w:sz w:val="22"/>
                <w:szCs w:val="22"/>
                <w:highlight w:val="none"/>
                <w:lang w:val="en-US"/>
              </w:rPr>
            </w:pPr>
            <w:r>
              <w:rPr>
                <w:rFonts w:hint="eastAsia" w:ascii="Times New Roman" w:hAnsi="Times New Roman" w:eastAsia="仿宋_GB2312" w:cs="仿宋_GB2312"/>
                <w:i w:val="0"/>
                <w:iCs w:val="0"/>
                <w:color w:val="000000"/>
                <w:kern w:val="0"/>
                <w:sz w:val="22"/>
                <w:szCs w:val="22"/>
                <w:highlight w:val="none"/>
                <w:u w:val="none"/>
                <w:lang w:val="en-US" w:eastAsia="zh-CN" w:bidi="ar"/>
              </w:rPr>
              <w:t>实验室恒温恒湿机组</w:t>
            </w:r>
            <w:r>
              <w:rPr>
                <w:rFonts w:hint="eastAsia" w:ascii="Times New Roman" w:hAnsi="Times New Roman" w:cs="仿宋_GB2312"/>
                <w:i w:val="0"/>
                <w:iCs w:val="0"/>
                <w:color w:val="000000"/>
                <w:kern w:val="0"/>
                <w:sz w:val="22"/>
                <w:szCs w:val="22"/>
                <w:highlight w:val="none"/>
                <w:u w:val="none"/>
                <w:lang w:val="en-US" w:eastAsia="zh-CN" w:bidi="ar"/>
              </w:rPr>
              <w:t>故障时长</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设备验收质量合格率</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1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时效指标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出具棉花公证检验证书及时率</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实验室恒温恒湿机组故障处理及时性</w:t>
            </w:r>
          </w:p>
        </w:tc>
      </w:tr>
      <w:tr>
        <w:tblPrEx>
          <w:tblCellMar>
            <w:top w:w="0" w:type="dxa"/>
            <w:left w:w="108" w:type="dxa"/>
            <w:bottom w:w="0" w:type="dxa"/>
            <w:right w:w="108" w:type="dxa"/>
          </w:tblCellMar>
        </w:tblPrEx>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设备购置计划完成时间</w:t>
            </w:r>
          </w:p>
        </w:tc>
      </w:tr>
      <w:tr>
        <w:tblPrEx>
          <w:tblCellMar>
            <w:top w:w="0" w:type="dxa"/>
            <w:left w:w="108" w:type="dxa"/>
            <w:bottom w:w="0" w:type="dxa"/>
            <w:right w:w="108" w:type="dxa"/>
          </w:tblCellMar>
        </w:tblPrEx>
        <w:trPr>
          <w:trHeight w:val="397" w:hRule="atLeast"/>
          <w:jc w:val="center"/>
        </w:trPr>
        <w:tc>
          <w:tcPr>
            <w:tcW w:w="13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成本指标</w:t>
            </w:r>
          </w:p>
        </w:tc>
        <w:tc>
          <w:tcPr>
            <w:tcW w:w="1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经济成本指标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检验成本</w:t>
            </w:r>
          </w:p>
        </w:tc>
      </w:tr>
      <w:tr>
        <w:trPr>
          <w:trHeight w:val="397" w:hRule="atLeast"/>
          <w:jc w:val="center"/>
        </w:trPr>
        <w:tc>
          <w:tcPr>
            <w:tcW w:w="13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1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outlineLvl w:val="9"/>
              <w:rPr>
                <w:rFonts w:hint="eastAsia" w:ascii="Times New Roman" w:hAnsi="Times New Roman" w:eastAsia="仿宋_GB2312" w:cs="仿宋_GB2312"/>
                <w:color w:val="000000"/>
                <w:sz w:val="22"/>
                <w:szCs w:val="22"/>
                <w:highlight w:val="none"/>
              </w:rPr>
            </w:pP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设备购置支出</w:t>
            </w:r>
          </w:p>
        </w:tc>
      </w:tr>
      <w:tr>
        <w:tblPrEx>
          <w:tblCellMar>
            <w:top w:w="0" w:type="dxa"/>
            <w:left w:w="108" w:type="dxa"/>
            <w:bottom w:w="0" w:type="dxa"/>
            <w:right w:w="108" w:type="dxa"/>
          </w:tblCellMar>
        </w:tblPrEx>
        <w:trPr>
          <w:trHeight w:val="397" w:hRule="atLeast"/>
          <w:jc w:val="center"/>
        </w:trPr>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效益指标</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社会效益指标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检验报告用于棉花交易应用率</w:t>
            </w:r>
          </w:p>
        </w:tc>
      </w:tr>
      <w:tr>
        <w:tblPrEx>
          <w:tblCellMar>
            <w:top w:w="0" w:type="dxa"/>
            <w:left w:w="108" w:type="dxa"/>
            <w:bottom w:w="0" w:type="dxa"/>
            <w:right w:w="108" w:type="dxa"/>
          </w:tblCellMar>
        </w:tblPrEx>
        <w:trPr>
          <w:trHeight w:val="397" w:hRule="atLeast"/>
          <w:jc w:val="center"/>
        </w:trPr>
        <w:tc>
          <w:tcPr>
            <w:tcW w:w="1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满意度指标</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outlineLvl w:val="9"/>
              <w:rPr>
                <w:rFonts w:hint="eastAsia" w:ascii="Times New Roman" w:hAnsi="Times New Roman" w:eastAsia="仿宋_GB2312" w:cs="仿宋_GB2312"/>
                <w:color w:val="000000"/>
                <w:sz w:val="22"/>
                <w:szCs w:val="22"/>
                <w:highlight w:val="none"/>
              </w:rPr>
            </w:pPr>
            <w:r>
              <w:rPr>
                <w:rFonts w:hint="eastAsia" w:ascii="Times New Roman" w:hAnsi="Times New Roman" w:eastAsia="仿宋_GB2312" w:cs="仿宋_GB2312"/>
                <w:i w:val="0"/>
                <w:iCs w:val="0"/>
                <w:color w:val="000000"/>
                <w:kern w:val="0"/>
                <w:sz w:val="22"/>
                <w:szCs w:val="22"/>
                <w:highlight w:val="none"/>
                <w:u w:val="none"/>
                <w:lang w:val="en-US" w:eastAsia="zh-CN" w:bidi="ar"/>
              </w:rPr>
              <w:t>满意度指标</w:t>
            </w:r>
          </w:p>
        </w:tc>
        <w:tc>
          <w:tcPr>
            <w:tcW w:w="22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outlineLvl w:val="9"/>
              <w:rPr>
                <w:rFonts w:hint="eastAsia" w:ascii="Times New Roman" w:hAnsi="Times New Roman" w:eastAsia="仿宋_GB2312" w:cs="仿宋_GB2312"/>
                <w:i w:val="0"/>
                <w:iCs w:val="0"/>
                <w:color w:val="000000"/>
                <w:kern w:val="0"/>
                <w:sz w:val="22"/>
                <w:szCs w:val="22"/>
                <w:highlight w:val="none"/>
                <w:u w:val="none"/>
                <w:lang w:val="en-US" w:eastAsia="zh-CN" w:bidi="ar"/>
              </w:rPr>
            </w:pPr>
            <w:r>
              <w:rPr>
                <w:rFonts w:hint="eastAsia" w:ascii="Times New Roman" w:hAnsi="Times New Roman" w:eastAsia="仿宋_GB2312" w:cs="仿宋_GB2312"/>
                <w:i w:val="0"/>
                <w:iCs w:val="0"/>
                <w:color w:val="000000"/>
                <w:kern w:val="0"/>
                <w:sz w:val="22"/>
                <w:szCs w:val="22"/>
                <w:highlight w:val="none"/>
                <w:u w:val="none"/>
                <w:lang w:val="en-US" w:eastAsia="zh-CN" w:bidi="ar"/>
              </w:rPr>
              <w:t>棉花公证检验涉及方满意率</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二、绩效评价情况</w:t>
      </w:r>
    </w:p>
    <w:p>
      <w:pPr>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（一）评价结论</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lang w:bidi="ar"/>
        </w:rPr>
        <w:t>运用由评价组研发并通过主管单位确认的评价指标体系及评分标准，通过项目单位提供的基础数据、问卷调查和访谈获取的相关信息资料，评价组对“</w:t>
      </w:r>
      <w:r>
        <w:rPr>
          <w:rFonts w:hint="default" w:ascii="Times New Roman" w:hAnsi="Times New Roman" w:eastAsia="仿宋_GB2312" w:cs="Times New Roman"/>
          <w:b w:val="0"/>
          <w:bCs w:val="0"/>
          <w:color w:val="auto"/>
          <w:sz w:val="32"/>
          <w:szCs w:val="32"/>
          <w:highlight w:val="none"/>
          <w:lang w:val="en-US" w:eastAsia="zh-CN"/>
        </w:rPr>
        <w:t>2024年度纤维公证检验经费项目</w:t>
      </w:r>
      <w:r>
        <w:rPr>
          <w:rFonts w:hint="default" w:ascii="Times New Roman" w:hAnsi="Times New Roman" w:eastAsia="仿宋_GB2312" w:cs="Times New Roman"/>
          <w:color w:val="000000"/>
          <w:sz w:val="32"/>
          <w:szCs w:val="32"/>
          <w:highlight w:val="none"/>
          <w:lang w:bidi="ar"/>
        </w:rPr>
        <w:t>”进行了独立客观的评价，最终评分结果</w:t>
      </w:r>
      <w:r>
        <w:rPr>
          <w:rFonts w:hint="default" w:ascii="Times New Roman" w:hAnsi="Times New Roman" w:eastAsia="仿宋_GB2312" w:cs="Times New Roman"/>
          <w:color w:val="auto"/>
          <w:sz w:val="32"/>
          <w:szCs w:val="32"/>
          <w:highlight w:val="none"/>
          <w:lang w:bidi="ar"/>
        </w:rPr>
        <w:t>为</w:t>
      </w:r>
      <w:r>
        <w:rPr>
          <w:rFonts w:hint="eastAsia" w:ascii="Times New Roman" w:hAnsi="Times New Roman" w:cs="Times New Roman"/>
          <w:color w:val="auto"/>
          <w:sz w:val="32"/>
          <w:szCs w:val="32"/>
          <w:highlight w:val="none"/>
          <w:lang w:val="en-US" w:eastAsia="zh-CN" w:bidi="ar"/>
        </w:rPr>
        <w:t>92.30</w:t>
      </w:r>
      <w:r>
        <w:rPr>
          <w:rFonts w:hint="default" w:ascii="Times New Roman" w:hAnsi="Times New Roman" w:eastAsia="仿宋_GB2312" w:cs="Times New Roman"/>
          <w:color w:val="000000"/>
          <w:sz w:val="32"/>
          <w:szCs w:val="32"/>
          <w:lang w:bidi="ar"/>
        </w:rPr>
        <w:t>分，评</w:t>
      </w:r>
      <w:r>
        <w:rPr>
          <w:rFonts w:hint="default" w:ascii="Times New Roman" w:hAnsi="Times New Roman" w:eastAsia="仿宋_GB2312" w:cs="Times New Roman"/>
          <w:color w:val="000000"/>
          <w:sz w:val="32"/>
          <w:szCs w:val="32"/>
          <w:highlight w:val="none"/>
          <w:lang w:bidi="ar"/>
        </w:rPr>
        <w:t>价等级为“</w:t>
      </w:r>
      <w:r>
        <w:rPr>
          <w:rFonts w:hint="default" w:ascii="Times New Roman" w:hAnsi="Times New Roman" w:eastAsia="仿宋_GB2312" w:cs="Times New Roman"/>
          <w:color w:val="auto"/>
          <w:spacing w:val="6"/>
          <w:sz w:val="32"/>
          <w:szCs w:val="32"/>
          <w:highlight w:val="none"/>
          <w:lang w:val="en-US" w:eastAsia="zh-CN" w:bidi="ar"/>
        </w:rPr>
        <w:t>优</w:t>
      </w:r>
      <w:r>
        <w:rPr>
          <w:rFonts w:hint="default" w:ascii="Times New Roman" w:hAnsi="Times New Roman" w:eastAsia="仿宋_GB2312" w:cs="Times New Roman"/>
          <w:color w:val="000000"/>
          <w:sz w:val="32"/>
          <w:szCs w:val="32"/>
          <w:highlight w:val="none"/>
          <w:lang w:bidi="ar"/>
        </w:rPr>
        <w:t>”。</w:t>
      </w:r>
    </w:p>
    <w:p>
      <w:pPr>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（二）预算执行情况</w:t>
      </w:r>
    </w:p>
    <w:p>
      <w:pPr>
        <w:keepNext w:val="0"/>
        <w:keepLines w:val="0"/>
        <w:pageBreakBefore w:val="0"/>
        <w:widowControl/>
        <w:kinsoku/>
        <w:wordWrap/>
        <w:overflowPunct/>
        <w:topLinePunct/>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2024年度纤维公证检验经费项目</w:t>
      </w:r>
      <w:r>
        <w:rPr>
          <w:rFonts w:hint="default" w:ascii="Times New Roman" w:hAnsi="Times New Roman" w:eastAsia="仿宋_GB2312" w:cs="Times New Roman"/>
          <w:b w:val="0"/>
          <w:kern w:val="0"/>
          <w:sz w:val="32"/>
          <w:szCs w:val="32"/>
          <w:highlight w:val="none"/>
          <w:lang w:val="zh-CN" w:eastAsia="zh-CN" w:bidi="en-US"/>
        </w:rPr>
        <w:t>，</w:t>
      </w:r>
      <w:r>
        <w:rPr>
          <w:rFonts w:hint="default" w:ascii="Times New Roman" w:hAnsi="Times New Roman" w:eastAsia="仿宋_GB2312" w:cs="Times New Roman"/>
          <w:b w:val="0"/>
          <w:kern w:val="0"/>
          <w:sz w:val="32"/>
          <w:szCs w:val="32"/>
          <w:highlight w:val="none"/>
          <w:lang w:val="en-US" w:eastAsia="zh-CN" w:bidi="en-US"/>
        </w:rPr>
        <w:t>为本级财政拨款资金</w:t>
      </w:r>
      <w:r>
        <w:rPr>
          <w:rFonts w:hint="default" w:ascii="Times New Roman" w:hAnsi="Times New Roman" w:eastAsia="仿宋_GB2312" w:cs="Times New Roman"/>
          <w:b w:val="0"/>
          <w:kern w:val="0"/>
          <w:sz w:val="32"/>
          <w:szCs w:val="32"/>
          <w:highlight w:val="none"/>
          <w:lang w:val="zh-CN" w:eastAsia="zh-CN" w:bidi="en-US"/>
        </w:rPr>
        <w:t>。</w:t>
      </w:r>
      <w:r>
        <w:rPr>
          <w:rFonts w:hint="default" w:ascii="Times New Roman" w:hAnsi="Times New Roman" w:eastAsia="仿宋_GB2312" w:cs="Times New Roman"/>
          <w:b w:val="0"/>
          <w:kern w:val="0"/>
          <w:sz w:val="32"/>
          <w:szCs w:val="32"/>
          <w:highlight w:val="none"/>
          <w:lang w:val="en-US" w:eastAsia="zh-CN" w:bidi="en-US"/>
        </w:rPr>
        <w:t>截止2024年12月31日，</w:t>
      </w:r>
      <w:r>
        <w:rPr>
          <w:rFonts w:hint="eastAsia" w:ascii="Times New Roman" w:hAnsi="Times New Roman" w:cs="Times New Roman"/>
          <w:color w:val="000000"/>
          <w:sz w:val="32"/>
          <w:szCs w:val="32"/>
          <w:lang w:val="en-US" w:eastAsia="zh-CN" w:bidi="ar"/>
        </w:rPr>
        <w:t>资金</w:t>
      </w:r>
      <w:r>
        <w:rPr>
          <w:rFonts w:hint="default" w:ascii="Times New Roman" w:hAnsi="Times New Roman" w:eastAsia="仿宋_GB2312" w:cs="Times New Roman"/>
          <w:color w:val="000000"/>
          <w:sz w:val="32"/>
          <w:szCs w:val="32"/>
          <w:lang w:bidi="ar"/>
        </w:rPr>
        <w:t>执行率97.92%。项目资金主要用于</w:t>
      </w:r>
      <w:r>
        <w:rPr>
          <w:rFonts w:hint="default" w:ascii="Times New Roman" w:hAnsi="Times New Roman" w:eastAsia="仿宋_GB2312" w:cs="Times New Roman"/>
          <w:sz w:val="32"/>
          <w:szCs w:val="32"/>
          <w:highlight w:val="none"/>
          <w:lang w:val="en-US" w:eastAsia="zh-CN"/>
        </w:rPr>
        <w:t>公检所需的人工费、耗材费、水电供暖费、劳保费、电信邮资费、实验室及检验仪器设备配置及运维费、信息网络建设及运维费、仪器设备检定费、差旅费、培训费、标准校准样品费、样品运输费、业务管理费以及其他直接用于公证检验方面的开支。</w:t>
      </w:r>
    </w:p>
    <w:p>
      <w:pPr>
        <w:keepNext w:val="0"/>
        <w:keepLines w:val="0"/>
        <w:pageBreakBefore w:val="0"/>
        <w:widowControl/>
        <w:numPr>
          <w:ilvl w:val="0"/>
          <w:numId w:val="0"/>
        </w:numPr>
        <w:kinsoku/>
        <w:wordWrap/>
        <w:overflowPunct/>
        <w:topLinePunct/>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（三）项目绩效情况</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2024年度纤维公证检验经费项目围绕棉花质量公证检验核心职能，科学统筹资源、规范实施流程，全面达成并超额完成年度目标。完成棉花品质检验、重量检验，超额满足检验量要求；通过设备购置与维护夯实检验能力，检验复检率0%，证书出具及设备故障处理及时率100%，以精准高效为吐鲁番市纤维产业发展提供有力支撑。</w:t>
      </w:r>
    </w:p>
    <w:p>
      <w:pPr>
        <w:keepNext w:val="0"/>
        <w:keepLines w:val="0"/>
        <w:pageBreakBefore w:val="0"/>
        <w:widowControl/>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spacing w:val="0"/>
          <w:sz w:val="32"/>
          <w:szCs w:val="32"/>
        </w:rPr>
      </w:pPr>
      <w:r>
        <w:rPr>
          <w:rFonts w:hint="default" w:ascii="Times New Roman" w:hAnsi="Times New Roman" w:eastAsia="仿宋_GB2312" w:cs="Times New Roman"/>
          <w:sz w:val="32"/>
          <w:szCs w:val="32"/>
          <w:lang w:val="en-US" w:eastAsia="zh-CN"/>
        </w:rPr>
        <w:t>项目价值显著，检验报告100%应用于交易定价，为企业提供科学依据，维护市场公平。同时推动质量标准统一、引导绿色种植，既提升产业链附加值、带动相关产业，又保障民生质量、减少资源浪费，实现经济、社会与生态效益协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both"/>
        <w:textAlignment w:val="auto"/>
        <w:outlineLvl w:val="9"/>
        <w:rPr>
          <w:rFonts w:hint="default" w:ascii="Times New Roman" w:hAnsi="Times New Roman" w:eastAsia="黑体" w:cs="Times New Roman"/>
          <w:color w:val="auto"/>
          <w:kern w:val="0"/>
          <w:sz w:val="32"/>
          <w:szCs w:val="32"/>
          <w:highlight w:val="none"/>
          <w:lang w:val="en-US" w:eastAsia="zh-CN" w:bidi="en-US"/>
        </w:rPr>
      </w:pPr>
      <w:r>
        <w:rPr>
          <w:rFonts w:hint="default" w:ascii="Times New Roman" w:hAnsi="Times New Roman" w:eastAsia="黑体" w:cs="Times New Roman"/>
          <w:color w:val="auto"/>
          <w:kern w:val="0"/>
          <w:sz w:val="32"/>
          <w:szCs w:val="32"/>
          <w:highlight w:val="none"/>
          <w:lang w:val="en-US" w:eastAsia="zh-CN" w:bidi="en-US"/>
        </w:rPr>
        <w:t>三、经验、问题和建议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（一）主要经验及做法</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cs="Times New Roman"/>
          <w:b/>
          <w:bCs/>
          <w:sz w:val="32"/>
          <w:szCs w:val="32"/>
          <w:lang w:val="en-US" w:eastAsia="zh-CN"/>
        </w:rPr>
        <w:t>1</w:t>
      </w:r>
      <w:r>
        <w:rPr>
          <w:rFonts w:hint="default" w:ascii="Times New Roman" w:hAnsi="Times New Roman" w:eastAsia="仿宋_GB2312" w:cs="Times New Roman"/>
          <w:b/>
          <w:bCs/>
          <w:sz w:val="32"/>
          <w:szCs w:val="32"/>
          <w:lang w:val="en-US" w:eastAsia="zh-CN"/>
        </w:rPr>
        <w:t>.统筹内外资源，提升服务产业的支撑能力</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主动配合自治区纤维监测中心开展驻库检验，既完成</w:t>
      </w:r>
      <w:r>
        <w:rPr>
          <w:rFonts w:hint="eastAsia" w:ascii="Times New Roman" w:hAnsi="Times New Roman" w:eastAsia="仿宋_GB2312" w:cs="仿宋_GB2312"/>
          <w:b w:val="0"/>
          <w:bCs w:val="0"/>
          <w:sz w:val="32"/>
          <w:szCs w:val="32"/>
          <w:lang w:val="en-US" w:eastAsia="zh-CN"/>
        </w:rPr>
        <w:t>上级下派的</w:t>
      </w:r>
      <w:r>
        <w:rPr>
          <w:rFonts w:hint="eastAsia" w:ascii="Times New Roman" w:hAnsi="Times New Roman" w:eastAsia="仿宋_GB2312" w:cs="仿宋_GB2312"/>
          <w:b w:val="0"/>
          <w:bCs w:val="0"/>
          <w:sz w:val="32"/>
          <w:szCs w:val="32"/>
        </w:rPr>
        <w:t>临时任务，又保障</w:t>
      </w:r>
      <w:r>
        <w:rPr>
          <w:rFonts w:hint="eastAsia" w:ascii="Times New Roman" w:hAnsi="Times New Roman" w:eastAsia="仿宋_GB2312" w:cs="仿宋_GB2312"/>
          <w:b w:val="0"/>
          <w:bCs w:val="0"/>
          <w:sz w:val="32"/>
          <w:szCs w:val="32"/>
          <w:lang w:val="en-US" w:eastAsia="zh-CN"/>
        </w:rPr>
        <w:t>吐鲁番市</w:t>
      </w:r>
      <w:r>
        <w:rPr>
          <w:rFonts w:hint="eastAsia" w:ascii="Times New Roman" w:hAnsi="Times New Roman" w:eastAsia="仿宋_GB2312" w:cs="仿宋_GB2312"/>
          <w:b w:val="0"/>
          <w:bCs w:val="0"/>
          <w:sz w:val="32"/>
          <w:szCs w:val="32"/>
        </w:rPr>
        <w:t>本地检验工作有序推进，全年无因资源不足导致的任务延误。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2</w:t>
      </w:r>
      <w:r>
        <w:rPr>
          <w:rFonts w:hint="default" w:ascii="Times New Roman" w:hAnsi="Times New Roman" w:cs="Times New Roman"/>
          <w:b/>
          <w:bCs/>
          <w:sz w:val="32"/>
          <w:szCs w:val="32"/>
          <w:lang w:val="en-US" w:eastAsia="zh-CN"/>
        </w:rPr>
        <w:t>.联动产业效益，延伸检验工作的价值链条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spacing w:val="0"/>
          <w:sz w:val="32"/>
          <w:szCs w:val="32"/>
          <w:shd w:val="clear" w:fill="FFFFFF"/>
        </w:rPr>
        <w:t>检验报告100%应用于棉花交易，为轧花企业、纺织厂提供分级定价依据，有效促进新疆棉花质量稳步提升和市场竞争力提高，不断巩固和扩大产业优势。</w:t>
      </w:r>
      <w:r>
        <w:rPr>
          <w:rFonts w:hint="eastAsia" w:ascii="Times New Roman" w:hAnsi="Times New Roman" w:cs="Times New Roman"/>
          <w:i w:val="0"/>
          <w:iCs w:val="0"/>
          <w:caps w:val="0"/>
          <w:spacing w:val="0"/>
          <w:sz w:val="32"/>
          <w:szCs w:val="32"/>
          <w:shd w:val="clear" w:fill="FFFFFF"/>
          <w:lang w:val="en-US" w:eastAsia="zh-CN"/>
        </w:rPr>
        <w:t>通过</w:t>
      </w:r>
      <w:r>
        <w:rPr>
          <w:rFonts w:hint="default" w:ascii="Times New Roman" w:hAnsi="Times New Roman" w:eastAsia="仿宋_GB2312" w:cs="Times New Roman"/>
          <w:i w:val="0"/>
          <w:iCs w:val="0"/>
          <w:caps w:val="0"/>
          <w:spacing w:val="0"/>
          <w:sz w:val="32"/>
          <w:szCs w:val="32"/>
          <w:shd w:val="clear" w:fill="FFFFFF"/>
        </w:rPr>
        <w:t>加强棉花收购、加工、销售各环节质量监管，严控异型纤维混入，持续提升产业基础能力和产业链水平，推行绿色制造和清洁生产，加快标准化和质量提升，带动全市制造业质量水平整体提升</w:t>
      </w:r>
      <w:r>
        <w:rPr>
          <w:rFonts w:hint="eastAsia" w:ascii="Times New Roman" w:hAnsi="Times New Roman" w:cs="Times New Roman"/>
          <w:i w:val="0"/>
          <w:iCs w:val="0"/>
          <w:caps w:val="0"/>
          <w:spacing w:val="0"/>
          <w:sz w:val="32"/>
          <w:szCs w:val="32"/>
          <w:shd w:val="clear" w:fill="FFFFFF"/>
          <w:lang w:eastAsia="zh-CN"/>
        </w:rPr>
        <w:t>，</w:t>
      </w:r>
      <w:r>
        <w:rPr>
          <w:rFonts w:hint="eastAsia" w:ascii="Times New Roman" w:hAnsi="Times New Roman" w:cs="Times New Roman"/>
          <w:i w:val="0"/>
          <w:iCs w:val="0"/>
          <w:caps w:val="0"/>
          <w:spacing w:val="0"/>
          <w:sz w:val="32"/>
          <w:szCs w:val="32"/>
          <w:shd w:val="clear" w:fill="FFFFFF"/>
          <w:lang w:val="en-US" w:eastAsia="zh-CN"/>
        </w:rPr>
        <w:t>有效</w:t>
      </w:r>
      <w:r>
        <w:rPr>
          <w:rFonts w:hint="default" w:ascii="Times New Roman" w:hAnsi="Times New Roman" w:eastAsia="仿宋_GB2312" w:cs="Times New Roman"/>
          <w:i w:val="0"/>
          <w:iCs w:val="0"/>
          <w:caps w:val="0"/>
          <w:spacing w:val="0"/>
          <w:sz w:val="32"/>
          <w:szCs w:val="32"/>
          <w:shd w:val="clear" w:fill="FFFFFF"/>
        </w:rPr>
        <w:t>维护市场公平秩序。</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（二）存在问题与不足</w:t>
      </w:r>
    </w:p>
    <w:p>
      <w:pPr>
        <w:pStyle w:val="3"/>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仿宋_GB2312"/>
          <w:b/>
          <w:bCs/>
          <w:color w:val="auto"/>
          <w:kern w:val="0"/>
          <w:sz w:val="32"/>
          <w:szCs w:val="32"/>
          <w:lang w:val="en-US" w:eastAsia="zh-CN" w:bidi="ar"/>
        </w:rPr>
      </w:pPr>
      <w:r>
        <w:rPr>
          <w:rFonts w:hint="default" w:ascii="Times New Roman" w:hAnsi="Times New Roman" w:eastAsia="仿宋_GB2312" w:cs="Times New Roman"/>
          <w:b/>
          <w:bCs/>
          <w:color w:val="auto"/>
          <w:kern w:val="0"/>
          <w:sz w:val="32"/>
          <w:szCs w:val="32"/>
          <w:lang w:val="en-US" w:eastAsia="zh-CN" w:bidi="ar"/>
        </w:rPr>
        <w:t>1.</w:t>
      </w:r>
      <w:r>
        <w:rPr>
          <w:rFonts w:hint="eastAsia" w:ascii="Times New Roman" w:hAnsi="Times New Roman" w:eastAsia="仿宋_GB2312" w:cs="仿宋_GB2312"/>
          <w:b/>
          <w:bCs/>
          <w:color w:val="auto"/>
          <w:sz w:val="32"/>
          <w:szCs w:val="32"/>
          <w:lang w:val="en-US" w:eastAsia="zh-CN"/>
        </w:rPr>
        <w:t>临聘人员工资提前支付可能引发违约风险且存在其他不合理支出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评价小组核查</w:t>
      </w:r>
      <w:r>
        <w:rPr>
          <w:rFonts w:hint="default" w:ascii="Times New Roman" w:hAnsi="Times New Roman" w:eastAsia="仿宋_GB2312" w:cs="Times New Roman"/>
          <w:color w:val="auto"/>
        </w:rPr>
        <w:t>发现</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吐鲁番市纤维检验经费</w:t>
      </w:r>
      <w:r>
        <w:rPr>
          <w:rFonts w:hint="default" w:ascii="Times New Roman" w:hAnsi="Times New Roman" w:eastAsia="仿宋_GB2312" w:cs="Times New Roman"/>
          <w:color w:val="auto"/>
        </w:rPr>
        <w:t>项目</w:t>
      </w:r>
      <w:r>
        <w:rPr>
          <w:rFonts w:hint="default" w:ascii="Times New Roman" w:hAnsi="Times New Roman" w:eastAsia="仿宋_GB2312" w:cs="Times New Roman"/>
          <w:color w:val="auto"/>
          <w:lang w:val="en-US" w:eastAsia="zh-CN"/>
        </w:rPr>
        <w:t>对支付资料</w:t>
      </w:r>
      <w:r>
        <w:rPr>
          <w:rFonts w:hint="default" w:ascii="Times New Roman" w:hAnsi="Times New Roman" w:eastAsia="仿宋_GB2312" w:cs="Times New Roman"/>
          <w:color w:val="auto"/>
        </w:rPr>
        <w:t>审核不严</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内控缺陷，存在</w:t>
      </w:r>
      <w:r>
        <w:rPr>
          <w:rFonts w:hint="default" w:ascii="Times New Roman" w:hAnsi="Times New Roman" w:eastAsia="仿宋_GB2312" w:cs="Times New Roman"/>
          <w:color w:val="auto"/>
          <w:lang w:val="en-US" w:eastAsia="zh-CN"/>
        </w:rPr>
        <w:t>履约</w:t>
      </w:r>
      <w:r>
        <w:rPr>
          <w:rFonts w:hint="default" w:ascii="Times New Roman" w:hAnsi="Times New Roman" w:eastAsia="仿宋_GB2312" w:cs="Times New Roman"/>
          <w:color w:val="auto"/>
        </w:rPr>
        <w:t>风险。</w:t>
      </w:r>
      <w:r>
        <w:rPr>
          <w:rFonts w:hint="default" w:ascii="Times New Roman" w:hAnsi="Times New Roman" w:eastAsia="仿宋_GB2312" w:cs="Times New Roman"/>
          <w:color w:val="auto"/>
          <w:lang w:val="en-US" w:eastAsia="zh-CN"/>
        </w:rPr>
        <w:t>同时，资金被提前占用，</w:t>
      </w:r>
      <w:r>
        <w:rPr>
          <w:rFonts w:hint="default" w:ascii="Times New Roman" w:hAnsi="Times New Roman" w:eastAsia="仿宋_GB2312" w:cs="Times New Roman"/>
          <w:color w:val="auto"/>
        </w:rPr>
        <w:t>无法按照预期规划发挥效能</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lang w:val="en-US" w:eastAsia="zh-CN"/>
        </w:rPr>
        <w:t>未能实现财政资金效益最大化。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cs="Times New Roman"/>
          <w:color w:val="auto"/>
          <w:lang w:val="en-US" w:eastAsia="zh-CN"/>
        </w:rPr>
        <w:t>经评价小组核查明细账发现在邮电费中列支了财政专线服务费，</w:t>
      </w:r>
      <w:r>
        <w:rPr>
          <w:rFonts w:hint="default" w:ascii="Times New Roman" w:hAnsi="Times New Roman" w:cs="Times New Roman"/>
          <w:color w:val="auto"/>
          <w:sz w:val="32"/>
          <w:szCs w:val="32"/>
        </w:rPr>
        <w:t>财政专线</w:t>
      </w:r>
      <w:r>
        <w:rPr>
          <w:rFonts w:hint="eastAsia" w:ascii="Times New Roman" w:hAnsi="Times New Roman" w:cs="Times New Roman"/>
          <w:color w:val="auto"/>
          <w:sz w:val="32"/>
          <w:szCs w:val="32"/>
          <w:lang w:val="en-US" w:eastAsia="zh-CN"/>
        </w:rPr>
        <w:t>服务</w:t>
      </w:r>
      <w:r>
        <w:rPr>
          <w:rFonts w:hint="default" w:ascii="Times New Roman" w:hAnsi="Times New Roman" w:cs="Times New Roman"/>
          <w:color w:val="auto"/>
          <w:sz w:val="32"/>
          <w:szCs w:val="32"/>
        </w:rPr>
        <w:t>费</w:t>
      </w:r>
      <w:r>
        <w:rPr>
          <w:rFonts w:hint="default" w:ascii="Times New Roman" w:hAnsi="Times New Roman" w:cs="Times New Roman"/>
          <w:color w:val="auto"/>
          <w:sz w:val="32"/>
          <w:szCs w:val="32"/>
          <w:lang w:val="en-US" w:eastAsia="zh-CN"/>
        </w:rPr>
        <w:t>应属于日常</w:t>
      </w:r>
      <w:r>
        <w:rPr>
          <w:rFonts w:hint="default" w:ascii="Times New Roman" w:hAnsi="Times New Roman" w:cs="Times New Roman"/>
          <w:color w:val="auto"/>
          <w:sz w:val="32"/>
          <w:szCs w:val="32"/>
        </w:rPr>
        <w:t>性支出</w:t>
      </w:r>
      <w:r>
        <w:rPr>
          <w:rFonts w:hint="default" w:ascii="Times New Roman" w:hAnsi="Times New Roman" w:cs="Times New Roman"/>
          <w:color w:val="auto"/>
        </w:rPr>
        <w:t>，无论是否有专项项目开展，这类保障基础办公通讯的费用都需要支出，其性质与专项项目的特定需求没有直接关联</w:t>
      </w:r>
      <w:r>
        <w:rPr>
          <w:rFonts w:hint="default" w:ascii="Times New Roman" w:hAnsi="Times New Roman" w:cs="Times New Roman"/>
          <w:color w:val="auto"/>
          <w:lang w:eastAsia="zh-CN"/>
        </w:rPr>
        <w:t>，</w:t>
      </w:r>
      <w:r>
        <w:rPr>
          <w:rFonts w:hint="default" w:ascii="Times New Roman" w:hAnsi="Times New Roman" w:cs="Times New Roman"/>
          <w:color w:val="auto"/>
        </w:rPr>
        <w:t>不应列入专项经费中支付。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ascii="Times New Roman" w:hAnsi="Times New Roman" w:eastAsia="仿宋_GB2312" w:cs="Times New Roman"/>
          <w:b/>
          <w:bCs/>
          <w:color w:val="auto"/>
          <w:sz w:val="32"/>
          <w:szCs w:val="32"/>
          <w:lang w:eastAsia="zh-CN"/>
        </w:rPr>
      </w:pPr>
      <w:r>
        <w:rPr>
          <w:rFonts w:hint="eastAsia" w:ascii="Times New Roman" w:hAnsi="Times New Roman"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前期预算编制精准性不足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经绩效评价小组查阅财务资料并开展线上访谈，发现吐鲁番市纤维检验所年初预算编制精准度亟待提升。具体问题表现为：该单位2024年度纤维公证检验经费年初预算</w:t>
      </w:r>
      <w:r>
        <w:rPr>
          <w:rFonts w:hint="eastAsia" w:ascii="Times New Roman" w:hAnsi="Times New Roman" w:cs="Times New Roman"/>
          <w:color w:val="auto"/>
          <w:sz w:val="32"/>
          <w:szCs w:val="32"/>
          <w:lang w:val="en-US" w:eastAsia="zh-CN"/>
        </w:rPr>
        <w:t>金额低于</w:t>
      </w:r>
      <w:r>
        <w:rPr>
          <w:rFonts w:hint="default" w:ascii="Times New Roman" w:hAnsi="Times New Roman" w:eastAsia="仿宋_GB2312" w:cs="Times New Roman"/>
          <w:color w:val="auto"/>
          <w:sz w:val="32"/>
          <w:szCs w:val="32"/>
          <w:lang w:eastAsia="zh-CN"/>
        </w:rPr>
        <w:t>实际采购金额。经与被评价单位核实，预算偏差根源在于前期价格调研不充分，导致实际支出超出绩效设定预算目标。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Style w:val="14"/>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bidi="ar"/>
        </w:rPr>
        <w:t>3.</w:t>
      </w:r>
      <w:r>
        <w:rPr>
          <w:rFonts w:hint="eastAsia" w:ascii="Times New Roman" w:hAnsi="Times New Roman" w:eastAsia="仿宋_GB2312" w:cs="Times New Roman"/>
          <w:b/>
          <w:bCs/>
          <w:color w:val="auto"/>
          <w:sz w:val="32"/>
          <w:szCs w:val="32"/>
          <w:highlight w:val="none"/>
          <w:lang w:val="en-US" w:eastAsia="zh-CN"/>
        </w:rPr>
        <w:t>项目预算指标设置</w:t>
      </w:r>
      <w:r>
        <w:rPr>
          <w:rFonts w:hint="eastAsia" w:ascii="Times New Roman" w:hAnsi="Times New Roman" w:eastAsia="仿宋_GB2312" w:cs="Times New Roman"/>
          <w:b/>
          <w:bCs/>
          <w:color w:val="auto"/>
          <w:sz w:val="32"/>
          <w:szCs w:val="32"/>
          <w:highlight w:val="none"/>
          <w:lang w:val="en-US" w:eastAsia="zh-Hans"/>
        </w:rPr>
        <w:t>及</w:t>
      </w:r>
      <w:r>
        <w:rPr>
          <w:rFonts w:hint="default" w:ascii="Times New Roman" w:hAnsi="Times New Roman" w:eastAsia="仿宋_GB2312" w:cs="Times New Roman"/>
          <w:b/>
          <w:bCs/>
          <w:color w:val="auto"/>
          <w:sz w:val="32"/>
          <w:szCs w:val="32"/>
          <w:highlight w:val="none"/>
          <w:lang w:val="en-US" w:eastAsia="zh-CN"/>
        </w:rPr>
        <w:t>绩效管理</w:t>
      </w:r>
      <w:r>
        <w:rPr>
          <w:rFonts w:hint="eastAsia" w:ascii="Times New Roman" w:hAnsi="Times New Roman" w:eastAsia="仿宋_GB2312" w:cs="Times New Roman"/>
          <w:b/>
          <w:bCs/>
          <w:color w:val="auto"/>
          <w:sz w:val="32"/>
          <w:szCs w:val="32"/>
          <w:highlight w:val="none"/>
          <w:lang w:val="en-US" w:eastAsia="zh-Hans"/>
        </w:rPr>
        <w:t>工作</w:t>
      </w:r>
      <w:r>
        <w:rPr>
          <w:rFonts w:hint="eastAsia" w:ascii="Times New Roman" w:hAnsi="Times New Roman" w:eastAsia="仿宋_GB2312" w:cs="Times New Roman"/>
          <w:b/>
          <w:bCs/>
          <w:color w:val="auto"/>
          <w:sz w:val="32"/>
          <w:szCs w:val="32"/>
          <w:highlight w:val="none"/>
          <w:lang w:val="en-US" w:eastAsia="zh-CN"/>
        </w:rPr>
        <w:t>有待提升</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color w:val="auto"/>
          <w:highlight w:val="none"/>
          <w:lang w:val="en-US" w:eastAsia="zh-CN"/>
        </w:rPr>
        <w:t>根据吐鲁番市纤维检验所提供的2024年度纤维公证检验经费绩效目标表，绩效指标</w:t>
      </w:r>
      <w:r>
        <w:rPr>
          <w:rFonts w:hint="eastAsia" w:ascii="Times New Roman" w:hAnsi="Times New Roman" w:cs="Times New Roman"/>
          <w:color w:val="auto"/>
          <w:highlight w:val="none"/>
          <w:lang w:val="en-US" w:eastAsia="zh-CN"/>
        </w:rPr>
        <w:t>与</w:t>
      </w:r>
      <w:r>
        <w:rPr>
          <w:rFonts w:hint="default" w:ascii="Times New Roman" w:hAnsi="Times New Roman" w:eastAsia="仿宋_GB2312" w:cs="Times New Roman"/>
        </w:rPr>
        <w:t>核心</w:t>
      </w:r>
      <w:r>
        <w:rPr>
          <w:rFonts w:hint="eastAsia" w:ascii="Times New Roman" w:hAnsi="Times New Roman" w:cs="Times New Roman"/>
          <w:lang w:eastAsia="zh-CN"/>
        </w:rPr>
        <w:t>工作要求</w:t>
      </w:r>
      <w:r>
        <w:rPr>
          <w:rFonts w:hint="default" w:ascii="Times New Roman" w:hAnsi="Times New Roman" w:eastAsia="仿宋_GB2312" w:cs="Times New Roman"/>
        </w:rPr>
        <w:t>属性脱节。</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根据2024</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i w:val="0"/>
          <w:color w:val="auto"/>
          <w:kern w:val="0"/>
          <w:sz w:val="32"/>
          <w:szCs w:val="32"/>
          <w:highlight w:val="none"/>
          <w:u w:val="none"/>
          <w:lang w:val="en-US" w:eastAsia="zh-CN" w:bidi="ar"/>
        </w:rPr>
        <w:t>度纤维公证检验经费自评表填报数据及单位所</w:t>
      </w:r>
      <w:r>
        <w:rPr>
          <w:rFonts w:hint="default" w:ascii="Times New Roman" w:hAnsi="Times New Roman" w:eastAsia="仿宋_GB2312" w:cs="Times New Roman"/>
          <w:color w:val="auto"/>
          <w:highlight w:val="none"/>
          <w:lang w:val="en-US" w:eastAsia="zh-CN"/>
        </w:rPr>
        <w:t>提供材料及基础表数据发现，</w:t>
      </w:r>
      <w:r>
        <w:rPr>
          <w:rStyle w:val="14"/>
          <w:rFonts w:hint="default" w:ascii="Times New Roman" w:hAnsi="Times New Roman" w:eastAsia="仿宋_GB2312" w:cs="Times New Roman"/>
          <w:color w:val="auto"/>
          <w:sz w:val="32"/>
          <w:szCs w:val="32"/>
          <w:highlight w:val="none"/>
        </w:rPr>
        <w:t>自评工作存在不全面、不客观的情形。</w:t>
      </w:r>
    </w:p>
    <w:p>
      <w:pPr>
        <w:pStyle w:val="15"/>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default" w:ascii="Times New Roman" w:hAnsi="Times New Roman" w:eastAsia="楷体" w:cs="Times New Roman"/>
          <w:b/>
          <w:bCs/>
          <w:color w:val="auto"/>
          <w:kern w:val="0"/>
          <w:sz w:val="32"/>
          <w:szCs w:val="32"/>
          <w:highlight w:val="none"/>
          <w:lang w:val="en-US" w:eastAsia="zh-CN" w:bidi="en-US"/>
        </w:rPr>
      </w:pPr>
      <w:r>
        <w:rPr>
          <w:rFonts w:hint="default" w:ascii="Times New Roman" w:hAnsi="Times New Roman" w:eastAsia="楷体" w:cs="Times New Roman"/>
          <w:b/>
          <w:bCs/>
          <w:color w:val="auto"/>
          <w:kern w:val="0"/>
          <w:sz w:val="32"/>
          <w:szCs w:val="32"/>
          <w:highlight w:val="none"/>
          <w:lang w:val="en-US" w:eastAsia="zh-CN" w:bidi="en-US"/>
        </w:rPr>
        <w:t>（三）建议和改进措施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Style w:val="14"/>
          <w:rFonts w:hint="default" w:ascii="Times New Roman" w:hAnsi="Times New Roman" w:cs="Times New Roman"/>
          <w:b/>
          <w:color w:val="auto"/>
          <w:kern w:val="0"/>
          <w:sz w:val="32"/>
          <w:szCs w:val="32"/>
          <w:lang w:val="en-US"/>
        </w:rPr>
      </w:pPr>
      <w:r>
        <w:rPr>
          <w:rStyle w:val="14"/>
          <w:rFonts w:hint="default" w:ascii="Times New Roman" w:hAnsi="Times New Roman" w:cs="Times New Roman"/>
          <w:b/>
          <w:color w:val="auto"/>
          <w:kern w:val="0"/>
          <w:sz w:val="32"/>
          <w:szCs w:val="32"/>
          <w:lang w:val="en-US"/>
        </w:rPr>
        <w:t>1.</w:t>
      </w:r>
      <w:r>
        <w:rPr>
          <w:rFonts w:hint="default" w:ascii="Times New Roman" w:hAnsi="Times New Roman" w:eastAsia="仿宋_GB2312" w:cs="Times New Roman"/>
          <w:b/>
          <w:bCs/>
          <w:color w:val="auto"/>
          <w:kern w:val="0"/>
          <w:sz w:val="32"/>
          <w:szCs w:val="32"/>
          <w:lang w:val="en-US" w:eastAsia="zh-CN" w:bidi="ar"/>
        </w:rPr>
        <w:t>规范专项经费支出，提高资金使用效益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rPr>
        <w:t>建议修订审批制度，</w:t>
      </w:r>
      <w:r>
        <w:rPr>
          <w:rFonts w:hint="default" w:ascii="Times New Roman" w:hAnsi="Times New Roman" w:cs="Times New Roman"/>
          <w:color w:val="auto"/>
        </w:rPr>
        <w:t>同时，针对已发生的提前支付款项，需专项追查对应人员的后续履约情况</w:t>
      </w:r>
      <w:r>
        <w:rPr>
          <w:rFonts w:hint="eastAsia" w:ascii="Times New Roman" w:hAnsi="Times New Roman" w:cs="Times New Roman"/>
          <w:color w:val="auto"/>
          <w:lang w:eastAsia="zh-CN"/>
        </w:rPr>
        <w:t>，</w:t>
      </w:r>
      <w:r>
        <w:rPr>
          <w:rFonts w:hint="default" w:ascii="Times New Roman" w:hAnsi="Times New Roman" w:eastAsia="仿宋_GB2312" w:cs="Times New Roman"/>
          <w:color w:val="auto"/>
        </w:rPr>
        <w:t>必要时启动追偿程序</w:t>
      </w:r>
      <w:r>
        <w:rPr>
          <w:rFonts w:hint="default" w:ascii="Times New Roman" w:hAnsi="Times New Roman" w:eastAsia="仿宋_GB2312" w:cs="Times New Roman"/>
          <w:color w:val="auto"/>
          <w:lang w:eastAsia="zh-CN"/>
        </w:rPr>
        <w:t>确保资金使用的透明度和合理性。</w:t>
      </w:r>
      <w:bookmarkStart w:id="6" w:name="_GoBack"/>
      <w:bookmarkEnd w:id="6"/>
      <w:r>
        <w:rPr>
          <w:rFonts w:hint="default" w:ascii="Times New Roman" w:hAnsi="Times New Roman" w:eastAsia="仿宋_GB2312" w:cs="Times New Roman"/>
          <w:color w:val="auto"/>
          <w:lang w:eastAsia="zh-CN"/>
        </w:rPr>
        <w:t>增设定期审计环节，对异常支付进行重点核查，以杜绝潜在的财务风险。具体操作包括：细化审批流程，明确各级审批权限；建立动态监控机制，实时跟踪支付进度；完善追偿细则，保障</w:t>
      </w:r>
      <w:r>
        <w:rPr>
          <w:rFonts w:hint="default" w:ascii="Times New Roman" w:hAnsi="Times New Roman" w:eastAsia="仿宋_GB2312" w:cs="Times New Roman"/>
          <w:color w:val="auto"/>
          <w:lang w:val="en-US" w:eastAsia="zh-CN"/>
        </w:rPr>
        <w:t>单位合法</w:t>
      </w:r>
      <w:r>
        <w:rPr>
          <w:rFonts w:hint="default" w:ascii="Times New Roman" w:hAnsi="Times New Roman" w:eastAsia="仿宋_GB2312" w:cs="Times New Roman"/>
          <w:color w:val="auto"/>
          <w:lang w:eastAsia="zh-CN"/>
        </w:rPr>
        <w:t>权益。</w:t>
      </w:r>
    </w:p>
    <w:p>
      <w:pPr>
        <w:pStyle w:val="3"/>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lang w:val="en-US" w:eastAsia="zh-CN"/>
        </w:rPr>
      </w:pPr>
      <w:r>
        <w:rPr>
          <w:rFonts w:hint="eastAsia" w:ascii="Times New Roman" w:hAnsi="Times New Roman" w:cs="Times New Roman"/>
          <w:color w:val="auto"/>
          <w:sz w:val="32"/>
          <w:szCs w:val="32"/>
          <w:lang w:val="en-US" w:eastAsia="zh-CN"/>
        </w:rPr>
        <w:t>同时</w:t>
      </w:r>
      <w:r>
        <w:rPr>
          <w:rFonts w:hint="default" w:ascii="Times New Roman" w:hAnsi="Times New Roman" w:cs="Times New Roman"/>
          <w:color w:val="auto"/>
        </w:rPr>
        <w:t>，对于财政专线费，应严格将其纳入日常公用经费等对应的常规支出科目进行统筹安排和支付。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Style w:val="14"/>
          <w:rFonts w:hint="default" w:ascii="Times New Roman" w:hAnsi="Times New Roman" w:cs="Times New Roman"/>
          <w:b/>
          <w:color w:val="auto"/>
          <w:kern w:val="0"/>
          <w:sz w:val="32"/>
          <w:szCs w:val="32"/>
          <w:lang w:val="en-US"/>
        </w:rPr>
      </w:pPr>
      <w:r>
        <w:rPr>
          <w:rStyle w:val="14"/>
          <w:rFonts w:hint="eastAsia" w:ascii="Times New Roman" w:hAnsi="Times New Roman" w:cs="Times New Roman"/>
          <w:b/>
          <w:color w:val="auto"/>
          <w:kern w:val="0"/>
          <w:sz w:val="32"/>
          <w:szCs w:val="32"/>
          <w:lang w:val="en-US"/>
        </w:rPr>
        <w:t>2.加强前期调研，</w:t>
      </w:r>
      <w:r>
        <w:rPr>
          <w:rStyle w:val="14"/>
          <w:rFonts w:hint="default" w:ascii="Times New Roman" w:hAnsi="Times New Roman" w:cs="Times New Roman"/>
          <w:b/>
          <w:color w:val="auto"/>
          <w:kern w:val="0"/>
          <w:sz w:val="32"/>
          <w:szCs w:val="32"/>
          <w:lang w:val="en-US"/>
        </w:rPr>
        <w:t>提升</w:t>
      </w:r>
      <w:r>
        <w:rPr>
          <w:rStyle w:val="14"/>
          <w:rFonts w:hint="eastAsia" w:ascii="Times New Roman" w:hAnsi="Times New Roman" w:cs="Times New Roman"/>
          <w:b/>
          <w:color w:val="auto"/>
          <w:kern w:val="0"/>
          <w:sz w:val="32"/>
          <w:szCs w:val="32"/>
          <w:lang w:val="en-US"/>
        </w:rPr>
        <w:t>项目</w:t>
      </w:r>
      <w:r>
        <w:rPr>
          <w:rStyle w:val="14"/>
          <w:rFonts w:hint="default" w:ascii="Times New Roman" w:hAnsi="Times New Roman" w:cs="Times New Roman"/>
          <w:b/>
          <w:color w:val="auto"/>
          <w:kern w:val="0"/>
          <w:sz w:val="32"/>
          <w:szCs w:val="32"/>
          <w:lang w:val="en-US"/>
        </w:rPr>
        <w:t>预算编制精准性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Style w:val="14"/>
          <w:rFonts w:hint="default" w:ascii="Times New Roman" w:hAnsi="Times New Roman" w:cs="Times New Roman"/>
          <w:b w:val="0"/>
          <w:bCs/>
          <w:color w:val="auto"/>
          <w:kern w:val="0"/>
          <w:sz w:val="32"/>
          <w:szCs w:val="32"/>
          <w:lang w:val="en-US"/>
        </w:rPr>
      </w:pPr>
      <w:r>
        <w:rPr>
          <w:rStyle w:val="14"/>
          <w:rFonts w:hint="default" w:ascii="Times New Roman" w:hAnsi="Times New Roman" w:cs="Times New Roman"/>
          <w:b w:val="0"/>
          <w:bCs/>
          <w:color w:val="auto"/>
          <w:kern w:val="0"/>
          <w:sz w:val="32"/>
          <w:szCs w:val="32"/>
          <w:lang w:val="en-US"/>
        </w:rPr>
        <w:t>针对预算编制不精准问题，一是强化采购前价格调研，提前收集至少3家供应商报价，涵盖设备、运输及安装等全流程成本，结合吐鲁番地域特点核算附加费用。二是建立历史数据参考机制，分析近3年同类设备采购支出及价格波动，避免经验估算。三是规范预算执行调整，年中核查支出进度，超支时及时按程序申请调整；明确资金调剂审批流程，确保有据可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cs="Times New Roman"/>
          <w:b/>
          <w:bCs/>
          <w:color w:val="auto"/>
          <w:sz w:val="32"/>
          <w:szCs w:val="32"/>
        </w:rPr>
      </w:pPr>
      <w:r>
        <w:rPr>
          <w:rFonts w:hint="default" w:ascii="Times New Roman" w:hAnsi="Times New Roman" w:cs="Times New Roman"/>
          <w:b/>
          <w:bCs/>
          <w:color w:val="auto"/>
          <w:kern w:val="0"/>
          <w:sz w:val="32"/>
          <w:szCs w:val="32"/>
          <w:lang w:val="en-US" w:eastAsia="zh-CN" w:bidi="ar"/>
        </w:rPr>
        <w:t>3.</w:t>
      </w:r>
      <w:r>
        <w:rPr>
          <w:rFonts w:hint="default" w:ascii="Times New Roman" w:hAnsi="Times New Roman" w:eastAsia="仿宋_GB2312" w:cs="Times New Roman"/>
          <w:b/>
          <w:bCs/>
          <w:color w:val="auto"/>
          <w:kern w:val="0"/>
          <w:sz w:val="32"/>
          <w:szCs w:val="32"/>
          <w:lang w:val="en-US" w:eastAsia="zh-CN" w:bidi="ar"/>
        </w:rPr>
        <w:t>全面落实预算绩效管理要求，提升履职效能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黑体" w:cs="Times New Roman"/>
          <w:b/>
          <w:bCs/>
          <w:i w:val="0"/>
          <w:caps w:val="0"/>
          <w:spacing w:val="0"/>
          <w:w w:val="100"/>
          <w:kern w:val="2"/>
          <w:sz w:val="32"/>
          <w:szCs w:val="32"/>
          <w:highlight w:val="none"/>
          <w:lang w:val="en-US" w:eastAsia="zh-CN" w:bidi="ar-SA"/>
        </w:rPr>
      </w:pPr>
      <w:r>
        <w:rPr>
          <w:rFonts w:hint="default" w:ascii="Times New Roman" w:hAnsi="Times New Roman" w:eastAsia="仿宋_GB2312" w:cs="Times New Roman"/>
          <w:color w:val="auto"/>
          <w:kern w:val="0"/>
          <w:sz w:val="32"/>
          <w:szCs w:val="32"/>
          <w:lang w:val="en-US" w:eastAsia="zh-CN" w:bidi="ar"/>
        </w:rPr>
        <w:t>项目主管单位应按照全面预算绩效管理的要求，进一步增强绩效管理主体责任意识，科学设置各项绩效指标，建立合理的绩效指标体系，提升项目任务与相关目标和指标的匹配度，并提高自评质量，为部门强化预算绩效管理奠定基础。增强绩效评价工作的严谨性和责任感，提高绩效自评</w:t>
      </w:r>
      <w:r>
        <w:rPr>
          <w:rFonts w:hint="default" w:ascii="Times New Roman" w:hAnsi="Times New Roman" w:cs="Times New Roman"/>
          <w:color w:val="auto"/>
          <w:kern w:val="0"/>
          <w:sz w:val="32"/>
          <w:szCs w:val="32"/>
          <w:lang w:val="en-US" w:eastAsia="zh-CN" w:bidi="ar"/>
        </w:rPr>
        <w:t>表和自评报告</w:t>
      </w:r>
      <w:r>
        <w:rPr>
          <w:rFonts w:hint="default" w:ascii="Times New Roman" w:hAnsi="Times New Roman" w:eastAsia="仿宋_GB2312" w:cs="Times New Roman"/>
          <w:color w:val="auto"/>
          <w:kern w:val="0"/>
          <w:sz w:val="32"/>
          <w:szCs w:val="32"/>
          <w:lang w:val="en-US" w:eastAsia="zh-CN" w:bidi="ar"/>
        </w:rPr>
        <w:t>的质量，全面总结项目指标的实际完成情况，并充实相关依据材料，避免自评</w:t>
      </w:r>
      <w:r>
        <w:rPr>
          <w:rFonts w:hint="default" w:ascii="Times New Roman" w:hAnsi="Times New Roman" w:cs="Times New Roman"/>
          <w:color w:val="auto"/>
          <w:kern w:val="0"/>
          <w:sz w:val="32"/>
          <w:szCs w:val="32"/>
          <w:lang w:val="en-US" w:eastAsia="zh-CN" w:bidi="ar"/>
        </w:rPr>
        <w:t>表和自评</w:t>
      </w:r>
      <w:r>
        <w:rPr>
          <w:rFonts w:hint="default" w:ascii="Times New Roman" w:hAnsi="Times New Roman" w:eastAsia="仿宋_GB2312" w:cs="Times New Roman"/>
          <w:color w:val="auto"/>
          <w:kern w:val="0"/>
          <w:sz w:val="32"/>
          <w:szCs w:val="32"/>
          <w:lang w:val="en-US" w:eastAsia="zh-CN" w:bidi="ar"/>
        </w:rPr>
        <w:t>报告流于形式，缺少有效支撑。</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4E7AD-8E4F-469E-B5F0-8500D31AC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EBC2280-7A6F-4E2B-BCCA-B5A708A85895}"/>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3" w:fontKey="{93F52C48-BD62-45B0-A46A-C966358969DD}"/>
  </w:font>
  <w:font w:name="隶书">
    <w:panose1 w:val="02010509060101010101"/>
    <w:charset w:val="86"/>
    <w:family w:val="modern"/>
    <w:pitch w:val="default"/>
    <w:sig w:usb0="00000001" w:usb1="080E0000" w:usb2="00000000" w:usb3="00000000" w:csb0="00040000" w:csb1="00000000"/>
    <w:embedRegular r:id="rId4" w:fontKey="{EEAB512F-856C-415A-8B31-8232FD412D04}"/>
  </w:font>
  <w:font w:name="楷体">
    <w:panose1 w:val="02010609060101010101"/>
    <w:charset w:val="86"/>
    <w:family w:val="auto"/>
    <w:pitch w:val="default"/>
    <w:sig w:usb0="800002BF" w:usb1="38CF7CFA" w:usb2="00000016" w:usb3="00000000" w:csb0="00040001" w:csb1="00000000"/>
    <w:embedRegular r:id="rId5" w:fontKey="{59254A09-EA0C-4E3D-983B-0AF9A51D20C1}"/>
  </w:font>
  <w:font w:name="Times New Roman Regular">
    <w:altName w:val="Times New Roman"/>
    <w:panose1 w:val="02020503050405090304"/>
    <w:charset w:val="00"/>
    <w:family w:val="auto"/>
    <w:pitch w:val="default"/>
    <w:sig w:usb0="00000000" w:usb1="00000000" w:usb2="00000001" w:usb3="00000000" w:csb0="400001BF" w:csb1="DFF70000"/>
    <w:embedRegular r:id="rId6" w:fontKey="{ACD86776-1D4D-41D2-B0E8-2ACF13D89A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5"/>
                      <w:rPr>
                        <w:rFonts w:ascii="Times New Roman" w:hAnsi="Times New Roman"/>
                      </w:rPr>
                    </w:pPr>
                    <w:r>
                      <w:rPr>
                        <w:rFonts w:ascii="Times New Roman" w:hAnsi="Times New Roman"/>
                      </w:rPr>
                      <w:fldChar w:fldCharType="begin"/>
                    </w:r>
                    <w:r>
                      <w:instrText xml:space="preserve"> PAGE  \* MERGEFORMAT </w:instrText>
                    </w:r>
                    <w:r>
                      <w:rPr>
                        <w:rFonts w:ascii="Times New Roman" w:hAnsi="Times New Roman"/>
                      </w:rPr>
                      <w:fldChar w:fldCharType="separate"/>
                    </w:r>
                    <w:r>
                      <w:t>2</w:t>
                    </w:r>
                    <w:r>
                      <w:rPr>
                        <w:rFonts w:ascii="Times New Roman" w:hAnsi="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bidi w:val="0"/>
      <w:adjustRightInd/>
      <w:snapToGrid w:val="0"/>
      <w:spacing w:after="0" w:line="300" w:lineRule="exact"/>
      <w:ind w:firstLine="840" w:firstLineChars="400"/>
      <w:jc w:val="left"/>
      <w:textAlignment w:val="auto"/>
      <w:outlineLvl w:val="9"/>
      <w:rPr>
        <w:rFonts w:hint="eastAsia" w:ascii="Times New Roman" w:hAnsi="Times New Roman" w:eastAsia="宋体"/>
        <w:b w:val="0"/>
        <w:bCs w:val="0"/>
        <w:sz w:val="21"/>
        <w:szCs w:val="21"/>
      </w:rPr>
    </w:pPr>
    <w:r>
      <w:rPr>
        <w:rFonts w:hint="eastAsia" w:ascii="隶书" w:hAnsi="宋体"/>
        <w:b w:val="0"/>
        <w:bCs w:val="0"/>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-15875</wp:posOffset>
          </wp:positionV>
          <wp:extent cx="422910" cy="385445"/>
          <wp:effectExtent l="0" t="0" r="3810" b="10795"/>
          <wp:wrapSquare wrapText="bothSides"/>
          <wp:docPr id="2" name="图片 2" descr="财讯小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财讯小图标"/>
                  <pic:cNvPicPr>
                    <a:picLocks noChangeAspect="1"/>
                  </pic:cNvPicPr>
                </pic:nvPicPr>
                <pic:blipFill>
                  <a:blip r:embed="rId1"/>
                  <a:stretch>
                    <a:fillRect/>
                  </a:stretch>
                </pic:blipFill>
                <pic:spPr>
                  <a:xfrm>
                    <a:off x="0" y="0"/>
                    <a:ext cx="422910" cy="385445"/>
                  </a:xfrm>
                  <a:prstGeom prst="rect">
                    <a:avLst/>
                  </a:prstGeom>
                </pic:spPr>
              </pic:pic>
            </a:graphicData>
          </a:graphic>
        </wp:anchor>
      </w:drawing>
    </w:r>
    <w:r>
      <w:rPr>
        <w:rFonts w:hint="eastAsia" w:ascii="Times New Roman" w:hAnsi="Times New Roman"/>
        <w:b w:val="0"/>
        <w:bCs w:val="0"/>
        <w:sz w:val="21"/>
        <w:szCs w:val="21"/>
      </w:rPr>
      <w:t>新</w:t>
    </w:r>
    <w:r>
      <w:rPr>
        <w:rFonts w:hint="eastAsia" w:ascii="Times New Roman" w:hAnsi="Times New Roman" w:eastAsia="宋体"/>
        <w:b w:val="0"/>
        <w:bCs w:val="0"/>
        <w:sz w:val="21"/>
        <w:szCs w:val="21"/>
      </w:rPr>
      <w:t>疆</w:t>
    </w:r>
    <w:r>
      <w:rPr>
        <w:rFonts w:hint="eastAsia" w:ascii="Times New Roman" w:hAnsi="Times New Roman" w:eastAsia="宋体"/>
        <w:b w:val="0"/>
        <w:bCs w:val="0"/>
        <w:sz w:val="21"/>
        <w:szCs w:val="21"/>
        <w:lang w:val="en-US" w:eastAsia="zh-CN"/>
      </w:rPr>
      <w:t>财讯睿智信息咨询</w:t>
    </w:r>
    <w:r>
      <w:rPr>
        <w:rFonts w:hint="eastAsia" w:ascii="Times New Roman" w:hAnsi="Times New Roman" w:eastAsia="宋体"/>
        <w:b w:val="0"/>
        <w:bCs w:val="0"/>
        <w:sz w:val="21"/>
        <w:szCs w:val="21"/>
      </w:rPr>
      <w:t>有限</w:t>
    </w:r>
    <w:r>
      <w:rPr>
        <w:rFonts w:hint="eastAsia" w:ascii="Times New Roman" w:hAnsi="Times New Roman" w:eastAsia="宋体"/>
        <w:b w:val="0"/>
        <w:bCs w:val="0"/>
        <w:sz w:val="21"/>
        <w:szCs w:val="21"/>
        <w:lang w:val="en-US" w:eastAsia="zh-CN"/>
      </w:rPr>
      <w:t>公司</w:t>
    </w:r>
    <w:r>
      <w:rPr>
        <w:rFonts w:hint="eastAsia" w:ascii="Times New Roman" w:hAnsi="Times New Roman" w:eastAsia="宋体"/>
        <w:b w:val="0"/>
        <w:bCs w:val="0"/>
        <w:sz w:val="21"/>
        <w:szCs w:val="21"/>
      </w:rPr>
      <w:t xml:space="preserve">     </w:t>
    </w:r>
  </w:p>
  <w:p>
    <w:pPr>
      <w:pStyle w:val="6"/>
      <w:keepNext w:val="0"/>
      <w:keepLines w:val="0"/>
      <w:pageBreakBefore w:val="0"/>
      <w:widowControl w:val="0"/>
      <w:pBdr>
        <w:bottom w:val="single" w:color="auto" w:sz="4" w:space="1"/>
      </w:pBdr>
      <w:kinsoku/>
      <w:wordWrap/>
      <w:overflowPunct/>
      <w:topLinePunct w:val="0"/>
      <w:bidi w:val="0"/>
      <w:adjustRightInd/>
      <w:snapToGrid w:val="0"/>
      <w:spacing w:after="0" w:line="300" w:lineRule="exact"/>
      <w:ind w:firstLine="840" w:firstLineChars="400"/>
      <w:jc w:val="left"/>
      <w:textAlignment w:val="auto"/>
      <w:outlineLvl w:val="9"/>
      <w:rPr>
        <w:rFonts w:hint="default" w:ascii="Times New Roman" w:hAnsi="Times New Roman" w:eastAsia="宋体" w:cs="Times New Roman"/>
        <w:b w:val="0"/>
        <w:bCs w:val="0"/>
        <w:sz w:val="21"/>
        <w:szCs w:val="21"/>
      </w:rPr>
    </w:pP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injiang Cai</w:t>
    </w:r>
    <w:r>
      <w:rPr>
        <w:rFonts w:hint="eastAsia" w:ascii="Times New Roman" w:hAnsi="Times New Roman" w:cs="Times New Roman"/>
        <w:b w:val="0"/>
        <w:bCs w:val="0"/>
        <w:sz w:val="21"/>
        <w:szCs w:val="21"/>
        <w:lang w:eastAsia="zh-CN"/>
      </w:rPr>
      <w:t>X</w:t>
    </w:r>
    <w:r>
      <w:rPr>
        <w:rFonts w:hint="default" w:ascii="Times New Roman" w:hAnsi="Times New Roman" w:eastAsia="宋体" w:cs="Times New Roman"/>
        <w:b w:val="0"/>
        <w:bCs w:val="0"/>
        <w:sz w:val="21"/>
        <w:szCs w:val="21"/>
      </w:rPr>
      <w:t>un Ruizhi Information Consulting Co.,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D1758D"/>
    <w:multiLevelType w:val="singleLevel"/>
    <w:tmpl w:val="71D175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yMTIxNTJlMjY2NjM5NjdjYmYwZjVhYjA4ZGEwODEifQ=="/>
  </w:docVars>
  <w:rsids>
    <w:rsidRoot w:val="0966299D"/>
    <w:rsid w:val="01EF3980"/>
    <w:rsid w:val="01F32976"/>
    <w:rsid w:val="02E01DD9"/>
    <w:rsid w:val="02FE20CD"/>
    <w:rsid w:val="030C19A7"/>
    <w:rsid w:val="031F3DF1"/>
    <w:rsid w:val="033B6E7D"/>
    <w:rsid w:val="03715785"/>
    <w:rsid w:val="03724869"/>
    <w:rsid w:val="041A1188"/>
    <w:rsid w:val="046318C1"/>
    <w:rsid w:val="046749DD"/>
    <w:rsid w:val="052265A5"/>
    <w:rsid w:val="05235E1B"/>
    <w:rsid w:val="055D636D"/>
    <w:rsid w:val="05FD48BE"/>
    <w:rsid w:val="06523562"/>
    <w:rsid w:val="068A747C"/>
    <w:rsid w:val="069074E0"/>
    <w:rsid w:val="07F01A92"/>
    <w:rsid w:val="088A61B1"/>
    <w:rsid w:val="088E5CA1"/>
    <w:rsid w:val="08970B74"/>
    <w:rsid w:val="08D4742C"/>
    <w:rsid w:val="08FC0E5C"/>
    <w:rsid w:val="094B3B92"/>
    <w:rsid w:val="0966299D"/>
    <w:rsid w:val="0ABE5329"/>
    <w:rsid w:val="0AF81AF7"/>
    <w:rsid w:val="0B072310"/>
    <w:rsid w:val="0B097861"/>
    <w:rsid w:val="0B257EEC"/>
    <w:rsid w:val="0B965696"/>
    <w:rsid w:val="0C3628D7"/>
    <w:rsid w:val="0D7B505C"/>
    <w:rsid w:val="0DA33F9D"/>
    <w:rsid w:val="0E597B37"/>
    <w:rsid w:val="0E63227B"/>
    <w:rsid w:val="0EB53486"/>
    <w:rsid w:val="0F962004"/>
    <w:rsid w:val="10B229B3"/>
    <w:rsid w:val="10CD1330"/>
    <w:rsid w:val="10D64689"/>
    <w:rsid w:val="10DE6CB2"/>
    <w:rsid w:val="11655F9D"/>
    <w:rsid w:val="120D6BDD"/>
    <w:rsid w:val="12521AED"/>
    <w:rsid w:val="12641BD1"/>
    <w:rsid w:val="130B144A"/>
    <w:rsid w:val="13D36C5E"/>
    <w:rsid w:val="14067033"/>
    <w:rsid w:val="141F00F5"/>
    <w:rsid w:val="14260760"/>
    <w:rsid w:val="146124BC"/>
    <w:rsid w:val="14B57B67"/>
    <w:rsid w:val="15470D31"/>
    <w:rsid w:val="154A2F50"/>
    <w:rsid w:val="15873072"/>
    <w:rsid w:val="15AB60E4"/>
    <w:rsid w:val="15B50D11"/>
    <w:rsid w:val="15D2579E"/>
    <w:rsid w:val="161466D7"/>
    <w:rsid w:val="165D34A1"/>
    <w:rsid w:val="17685EA5"/>
    <w:rsid w:val="17A54DB5"/>
    <w:rsid w:val="18573340"/>
    <w:rsid w:val="185A3167"/>
    <w:rsid w:val="185F4F64"/>
    <w:rsid w:val="1ABF7F3C"/>
    <w:rsid w:val="1AF424A5"/>
    <w:rsid w:val="1B854CE1"/>
    <w:rsid w:val="1BB235FD"/>
    <w:rsid w:val="1BB6000B"/>
    <w:rsid w:val="1BEE36D9"/>
    <w:rsid w:val="1C047538"/>
    <w:rsid w:val="1CBD66FD"/>
    <w:rsid w:val="1E380731"/>
    <w:rsid w:val="1E472722"/>
    <w:rsid w:val="1E4A7332"/>
    <w:rsid w:val="1E8F7C25"/>
    <w:rsid w:val="1F240CB5"/>
    <w:rsid w:val="1F332CA6"/>
    <w:rsid w:val="1FB57B5F"/>
    <w:rsid w:val="1FE669B3"/>
    <w:rsid w:val="20234AC9"/>
    <w:rsid w:val="205D622D"/>
    <w:rsid w:val="223D2B2B"/>
    <w:rsid w:val="227635D6"/>
    <w:rsid w:val="228D2987"/>
    <w:rsid w:val="22B660C8"/>
    <w:rsid w:val="22CC719B"/>
    <w:rsid w:val="23056708"/>
    <w:rsid w:val="236D2C2B"/>
    <w:rsid w:val="238B4E5F"/>
    <w:rsid w:val="255B2F57"/>
    <w:rsid w:val="26541488"/>
    <w:rsid w:val="265E3EC5"/>
    <w:rsid w:val="26C436A5"/>
    <w:rsid w:val="27695F9F"/>
    <w:rsid w:val="28310EEF"/>
    <w:rsid w:val="284D23F2"/>
    <w:rsid w:val="286363AA"/>
    <w:rsid w:val="28893937"/>
    <w:rsid w:val="288D78CB"/>
    <w:rsid w:val="28D0506B"/>
    <w:rsid w:val="290E296F"/>
    <w:rsid w:val="29173305"/>
    <w:rsid w:val="295447AF"/>
    <w:rsid w:val="2A59392D"/>
    <w:rsid w:val="2A952A67"/>
    <w:rsid w:val="2B1716CE"/>
    <w:rsid w:val="2BA32A85"/>
    <w:rsid w:val="2BFF463C"/>
    <w:rsid w:val="2C7212B2"/>
    <w:rsid w:val="2CF37A4F"/>
    <w:rsid w:val="2DD90EBD"/>
    <w:rsid w:val="2E84235F"/>
    <w:rsid w:val="2E9C43C4"/>
    <w:rsid w:val="2F4A2E19"/>
    <w:rsid w:val="2FF63FA8"/>
    <w:rsid w:val="308E2433"/>
    <w:rsid w:val="30A23E14"/>
    <w:rsid w:val="310149B3"/>
    <w:rsid w:val="31181CFC"/>
    <w:rsid w:val="31AD68E8"/>
    <w:rsid w:val="31B9528D"/>
    <w:rsid w:val="320C1861"/>
    <w:rsid w:val="32121DDC"/>
    <w:rsid w:val="325376ED"/>
    <w:rsid w:val="325B6344"/>
    <w:rsid w:val="326A1A7A"/>
    <w:rsid w:val="32A001FB"/>
    <w:rsid w:val="340F5638"/>
    <w:rsid w:val="342E5E1C"/>
    <w:rsid w:val="34806536"/>
    <w:rsid w:val="354C68CF"/>
    <w:rsid w:val="355D6A34"/>
    <w:rsid w:val="35710983"/>
    <w:rsid w:val="36913FEA"/>
    <w:rsid w:val="3699743B"/>
    <w:rsid w:val="36A76683"/>
    <w:rsid w:val="36B83D65"/>
    <w:rsid w:val="37001D49"/>
    <w:rsid w:val="370074BA"/>
    <w:rsid w:val="37094FC3"/>
    <w:rsid w:val="37167CF1"/>
    <w:rsid w:val="37427AD3"/>
    <w:rsid w:val="376932B2"/>
    <w:rsid w:val="37A14BDC"/>
    <w:rsid w:val="382A7741"/>
    <w:rsid w:val="3851621F"/>
    <w:rsid w:val="38CD4C84"/>
    <w:rsid w:val="394F1371"/>
    <w:rsid w:val="3A3C71DE"/>
    <w:rsid w:val="3AD60C5E"/>
    <w:rsid w:val="3B624143"/>
    <w:rsid w:val="3C0F5CD2"/>
    <w:rsid w:val="3C1732DC"/>
    <w:rsid w:val="3C726653"/>
    <w:rsid w:val="3C8F1D62"/>
    <w:rsid w:val="3DE11DF4"/>
    <w:rsid w:val="3DFF04CC"/>
    <w:rsid w:val="3E1F46CA"/>
    <w:rsid w:val="3ED6747E"/>
    <w:rsid w:val="3F161F71"/>
    <w:rsid w:val="3F375A38"/>
    <w:rsid w:val="3F4A5777"/>
    <w:rsid w:val="3F6C1B91"/>
    <w:rsid w:val="3F9133A5"/>
    <w:rsid w:val="400A4625"/>
    <w:rsid w:val="40DA6FCE"/>
    <w:rsid w:val="40EB66E7"/>
    <w:rsid w:val="40EF6649"/>
    <w:rsid w:val="41391F47"/>
    <w:rsid w:val="416549EE"/>
    <w:rsid w:val="41742F7F"/>
    <w:rsid w:val="41B163EE"/>
    <w:rsid w:val="42254279"/>
    <w:rsid w:val="42723ED9"/>
    <w:rsid w:val="429A23BB"/>
    <w:rsid w:val="42CF12C3"/>
    <w:rsid w:val="430B183F"/>
    <w:rsid w:val="443E212B"/>
    <w:rsid w:val="44E41B31"/>
    <w:rsid w:val="45140D01"/>
    <w:rsid w:val="45617CBE"/>
    <w:rsid w:val="45B33B18"/>
    <w:rsid w:val="45C444FC"/>
    <w:rsid w:val="46507A82"/>
    <w:rsid w:val="46A54994"/>
    <w:rsid w:val="46BB51AC"/>
    <w:rsid w:val="481A16C0"/>
    <w:rsid w:val="48A028AB"/>
    <w:rsid w:val="48EF0B34"/>
    <w:rsid w:val="48F7696F"/>
    <w:rsid w:val="492B4235"/>
    <w:rsid w:val="4962335A"/>
    <w:rsid w:val="49FE124F"/>
    <w:rsid w:val="4A161D99"/>
    <w:rsid w:val="4A1672C9"/>
    <w:rsid w:val="4A235542"/>
    <w:rsid w:val="4A256BA5"/>
    <w:rsid w:val="4AA06B93"/>
    <w:rsid w:val="4AAC469A"/>
    <w:rsid w:val="4BBF5F40"/>
    <w:rsid w:val="4BE60F1D"/>
    <w:rsid w:val="4C9C2831"/>
    <w:rsid w:val="4D265A75"/>
    <w:rsid w:val="4EAC5C33"/>
    <w:rsid w:val="4F365D17"/>
    <w:rsid w:val="4F6D071E"/>
    <w:rsid w:val="4F801DF4"/>
    <w:rsid w:val="4F806F93"/>
    <w:rsid w:val="4F882C58"/>
    <w:rsid w:val="501A1195"/>
    <w:rsid w:val="503F75C7"/>
    <w:rsid w:val="504C2DF0"/>
    <w:rsid w:val="509A50FD"/>
    <w:rsid w:val="50AA1965"/>
    <w:rsid w:val="50DC549F"/>
    <w:rsid w:val="514B3CFC"/>
    <w:rsid w:val="51875CD1"/>
    <w:rsid w:val="51D75590"/>
    <w:rsid w:val="52081BED"/>
    <w:rsid w:val="52236EFF"/>
    <w:rsid w:val="52ED0DE3"/>
    <w:rsid w:val="536A359C"/>
    <w:rsid w:val="53F35F85"/>
    <w:rsid w:val="54745318"/>
    <w:rsid w:val="54DF06A4"/>
    <w:rsid w:val="550348EE"/>
    <w:rsid w:val="557E3F74"/>
    <w:rsid w:val="559B4B26"/>
    <w:rsid w:val="55E60E8B"/>
    <w:rsid w:val="55F60227"/>
    <w:rsid w:val="560939B3"/>
    <w:rsid w:val="565828B0"/>
    <w:rsid w:val="568B4B9B"/>
    <w:rsid w:val="56ED315F"/>
    <w:rsid w:val="57371694"/>
    <w:rsid w:val="57560662"/>
    <w:rsid w:val="577109C8"/>
    <w:rsid w:val="578A30A4"/>
    <w:rsid w:val="57D12A81"/>
    <w:rsid w:val="581A5EBF"/>
    <w:rsid w:val="58597148"/>
    <w:rsid w:val="590F1AB3"/>
    <w:rsid w:val="593A6404"/>
    <w:rsid w:val="595C281E"/>
    <w:rsid w:val="5991071A"/>
    <w:rsid w:val="5A371640"/>
    <w:rsid w:val="5A875D41"/>
    <w:rsid w:val="5B3D3F8A"/>
    <w:rsid w:val="5C050F4B"/>
    <w:rsid w:val="5CAE513F"/>
    <w:rsid w:val="5CB90305"/>
    <w:rsid w:val="5CCC1A69"/>
    <w:rsid w:val="5D715A81"/>
    <w:rsid w:val="5D7843A7"/>
    <w:rsid w:val="5E055233"/>
    <w:rsid w:val="5E1436C8"/>
    <w:rsid w:val="5E345B18"/>
    <w:rsid w:val="5E473A9D"/>
    <w:rsid w:val="5E8F0FA0"/>
    <w:rsid w:val="5EDA0ECC"/>
    <w:rsid w:val="5F04373C"/>
    <w:rsid w:val="5F6F2846"/>
    <w:rsid w:val="5FB80713"/>
    <w:rsid w:val="600C6FB6"/>
    <w:rsid w:val="606C3347"/>
    <w:rsid w:val="60746439"/>
    <w:rsid w:val="60D34F34"/>
    <w:rsid w:val="60E92BEA"/>
    <w:rsid w:val="61506387"/>
    <w:rsid w:val="61647CC6"/>
    <w:rsid w:val="61CD250B"/>
    <w:rsid w:val="62244410"/>
    <w:rsid w:val="62274085"/>
    <w:rsid w:val="62291802"/>
    <w:rsid w:val="62344338"/>
    <w:rsid w:val="623954AB"/>
    <w:rsid w:val="6258582E"/>
    <w:rsid w:val="62791152"/>
    <w:rsid w:val="62B45479"/>
    <w:rsid w:val="62DE0040"/>
    <w:rsid w:val="63352116"/>
    <w:rsid w:val="63734C82"/>
    <w:rsid w:val="63A0510B"/>
    <w:rsid w:val="63CE44AC"/>
    <w:rsid w:val="651162CA"/>
    <w:rsid w:val="6523128F"/>
    <w:rsid w:val="653D3504"/>
    <w:rsid w:val="65AD68DC"/>
    <w:rsid w:val="65DF1676"/>
    <w:rsid w:val="65E816C2"/>
    <w:rsid w:val="66C70B33"/>
    <w:rsid w:val="670544F5"/>
    <w:rsid w:val="679D64DC"/>
    <w:rsid w:val="68C02A57"/>
    <w:rsid w:val="68FE11FC"/>
    <w:rsid w:val="694C640B"/>
    <w:rsid w:val="696C085C"/>
    <w:rsid w:val="69E54887"/>
    <w:rsid w:val="69F40BEB"/>
    <w:rsid w:val="6A1B17E0"/>
    <w:rsid w:val="6A331678"/>
    <w:rsid w:val="6AFB1E97"/>
    <w:rsid w:val="6AFE7E7F"/>
    <w:rsid w:val="6B67752D"/>
    <w:rsid w:val="6B7457A6"/>
    <w:rsid w:val="6C517DD8"/>
    <w:rsid w:val="6D4C0479"/>
    <w:rsid w:val="6DFE40F2"/>
    <w:rsid w:val="6EB74327"/>
    <w:rsid w:val="6FF156B3"/>
    <w:rsid w:val="70035E4A"/>
    <w:rsid w:val="702A0B29"/>
    <w:rsid w:val="704936A5"/>
    <w:rsid w:val="708674E0"/>
    <w:rsid w:val="70B56B07"/>
    <w:rsid w:val="71513864"/>
    <w:rsid w:val="717A163C"/>
    <w:rsid w:val="72620A4E"/>
    <w:rsid w:val="73155AC0"/>
    <w:rsid w:val="73D63AEF"/>
    <w:rsid w:val="74940C67"/>
    <w:rsid w:val="74C96B62"/>
    <w:rsid w:val="7506180B"/>
    <w:rsid w:val="751B4A79"/>
    <w:rsid w:val="753000A6"/>
    <w:rsid w:val="755A23B2"/>
    <w:rsid w:val="76C6759E"/>
    <w:rsid w:val="76F2069C"/>
    <w:rsid w:val="773C60DB"/>
    <w:rsid w:val="77BA6C36"/>
    <w:rsid w:val="77CD4F31"/>
    <w:rsid w:val="77D71596"/>
    <w:rsid w:val="78106988"/>
    <w:rsid w:val="78BD108D"/>
    <w:rsid w:val="78FD6DDA"/>
    <w:rsid w:val="79BB0820"/>
    <w:rsid w:val="79E409FD"/>
    <w:rsid w:val="79FE105C"/>
    <w:rsid w:val="7A100D8F"/>
    <w:rsid w:val="7A5C0769"/>
    <w:rsid w:val="7A653295"/>
    <w:rsid w:val="7AC676A0"/>
    <w:rsid w:val="7B2014A6"/>
    <w:rsid w:val="7B856B32"/>
    <w:rsid w:val="7C7B2E38"/>
    <w:rsid w:val="7CBE2D25"/>
    <w:rsid w:val="7CD4288A"/>
    <w:rsid w:val="7CDE2C92"/>
    <w:rsid w:val="7D604AB7"/>
    <w:rsid w:val="7D687E88"/>
    <w:rsid w:val="7D8B70AB"/>
    <w:rsid w:val="7DC73E5B"/>
    <w:rsid w:val="7DE0510C"/>
    <w:rsid w:val="7F376DBE"/>
    <w:rsid w:val="7F5259A6"/>
    <w:rsid w:val="7F617665"/>
    <w:rsid w:val="7FDE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jc w:val="left"/>
    </w:pPr>
    <w:rPr>
      <w:rFonts w:ascii="Calibri" w:hAnsi="Calibri" w:eastAsia="仿宋_GB2312" w:cs="Times New Roman"/>
      <w:kern w:val="0"/>
      <w:sz w:val="32"/>
      <w:szCs w:val="24"/>
      <w:lang w:val="en-US" w:eastAsia="zh-CN" w:bidi="ar"/>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Title"/>
    <w:basedOn w:val="1"/>
    <w:link w:val="22"/>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NormalCharacter"/>
    <w:link w:val="1"/>
    <w:semiHidden/>
    <w:qFormat/>
    <w:uiPriority w:val="0"/>
    <w:rPr>
      <w:rFonts w:ascii="Calibri" w:hAnsi="Calibri" w:eastAsia="仿宋_GB2312" w:cs="Times New Roman"/>
      <w:kern w:val="0"/>
      <w:sz w:val="32"/>
      <w:szCs w:val="24"/>
      <w:lang w:val="en-US" w:eastAsia="zh-CN" w:bidi="ar"/>
    </w:rPr>
  </w:style>
  <w:style w:type="paragraph" w:customStyle="1" w:styleId="15">
    <w:name w:val="Body text|1"/>
    <w:basedOn w:val="1"/>
    <w:qFormat/>
    <w:uiPriority w:val="0"/>
    <w:pPr>
      <w:widowControl w:val="0"/>
      <w:shd w:val="clear" w:color="auto" w:fill="auto"/>
      <w:spacing w:line="377" w:lineRule="auto"/>
      <w:ind w:firstLine="400"/>
    </w:pPr>
    <w:rPr>
      <w:rFonts w:ascii="宋体" w:hAnsi="宋体" w:eastAsia="宋体" w:cs="宋体"/>
      <w:sz w:val="28"/>
      <w:szCs w:val="28"/>
      <w:u w:val="none"/>
      <w:shd w:val="clear" w:color="auto" w:fill="auto"/>
      <w:lang w:val="zh-TW" w:eastAsia="zh-TW" w:bidi="zh-TW"/>
    </w:rPr>
  </w:style>
  <w:style w:type="paragraph" w:customStyle="1" w:styleId="16">
    <w:name w:val="GB正文"/>
    <w:basedOn w:val="1"/>
    <w:qFormat/>
    <w:uiPriority w:val="0"/>
    <w:pPr>
      <w:spacing w:line="590" w:lineRule="exact"/>
      <w:ind w:firstLine="707" w:firstLineChars="221"/>
    </w:pPr>
    <w:rPr>
      <w:rFonts w:ascii="仿宋_GB2312" w:hAnsi="Times New Roman" w:eastAsia="仿宋_GB2312"/>
      <w:color w:val="000000"/>
      <w:spacing w:val="6"/>
      <w:sz w:val="32"/>
      <w:szCs w:val="32"/>
    </w:rPr>
  </w:style>
  <w:style w:type="paragraph" w:customStyle="1" w:styleId="17">
    <w:name w:val="黑体1"/>
    <w:basedOn w:val="1"/>
    <w:qFormat/>
    <w:uiPriority w:val="0"/>
    <w:pPr>
      <w:widowControl/>
      <w:overflowPunct w:val="0"/>
      <w:autoSpaceDE w:val="0"/>
      <w:autoSpaceDN w:val="0"/>
      <w:adjustRightInd w:val="0"/>
      <w:spacing w:line="560" w:lineRule="exact"/>
      <w:ind w:firstLine="803" w:firstLineChars="250"/>
      <w:textAlignment w:val="baseline"/>
    </w:pPr>
    <w:rPr>
      <w:rFonts w:ascii="黑体" w:hAnsi="黑体" w:eastAsia="黑体"/>
      <w:b/>
      <w:kern w:val="0"/>
      <w:sz w:val="32"/>
      <w:szCs w:val="28"/>
    </w:rPr>
  </w:style>
  <w:style w:type="paragraph" w:customStyle="1" w:styleId="18">
    <w:name w:val="闻政正文"/>
    <w:basedOn w:val="1"/>
    <w:qFormat/>
    <w:uiPriority w:val="0"/>
    <w:pPr>
      <w:spacing w:line="500" w:lineRule="exact"/>
      <w:ind w:firstLine="883" w:firstLineChars="200"/>
    </w:pPr>
    <w:rPr>
      <w:rFonts w:ascii="Times New Roman" w:hAnsi="Times New Roman" w:eastAsia="仿宋_GB2312"/>
      <w:kern w:val="0"/>
      <w:sz w:val="28"/>
      <w:szCs w:val="28"/>
    </w:rPr>
  </w:style>
  <w:style w:type="paragraph" w:customStyle="1" w:styleId="19">
    <w:name w:val="列出段落1"/>
    <w:basedOn w:val="1"/>
    <w:qFormat/>
    <w:uiPriority w:val="0"/>
    <w:pPr>
      <w:ind w:firstLine="420" w:firstLineChars="200"/>
    </w:pPr>
  </w:style>
  <w:style w:type="character" w:customStyle="1" w:styleId="20">
    <w:name w:val="font41"/>
    <w:basedOn w:val="12"/>
    <w:qFormat/>
    <w:uiPriority w:val="0"/>
    <w:rPr>
      <w:rFonts w:hint="default" w:ascii="Times New Roman" w:hAnsi="Times New Roman" w:cs="Times New Roman"/>
      <w:color w:val="000000"/>
      <w:sz w:val="22"/>
      <w:szCs w:val="22"/>
      <w:u w:val="none"/>
    </w:rPr>
  </w:style>
  <w:style w:type="character" w:customStyle="1" w:styleId="21">
    <w:name w:val="font31"/>
    <w:basedOn w:val="12"/>
    <w:qFormat/>
    <w:uiPriority w:val="0"/>
    <w:rPr>
      <w:rFonts w:hint="eastAsia" w:ascii="仿宋" w:hAnsi="仿宋" w:eastAsia="仿宋" w:cs="仿宋"/>
      <w:color w:val="000000"/>
      <w:sz w:val="22"/>
      <w:szCs w:val="22"/>
      <w:u w:val="none"/>
    </w:rPr>
  </w:style>
  <w:style w:type="character" w:customStyle="1" w:styleId="22">
    <w:name w:val="标题 字符"/>
    <w:basedOn w:val="12"/>
    <w:link w:val="9"/>
    <w:qFormat/>
    <w:uiPriority w:val="0"/>
    <w:rPr>
      <w:rFonts w:ascii="Calibri Light" w:hAnsi="Calibri Light" w:eastAsia="宋体" w:cs="Times New Roman"/>
      <w:spacing w:val="-10"/>
      <w:kern w:val="28"/>
      <w:sz w:val="56"/>
      <w:szCs w:val="56"/>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4044</Words>
  <Characters>4314</Characters>
  <Lines>0</Lines>
  <Paragraphs>0</Paragraphs>
  <TotalTime>35</TotalTime>
  <ScaleCrop>false</ScaleCrop>
  <LinksUpToDate>false</LinksUpToDate>
  <CharactersWithSpaces>4316</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2023-07-03T09:16:00Z</dcterms:created>
  <dc:creator>Q.</dc:creator>
  <cp:lastModifiedBy>user</cp:lastModifiedBy>
  <cp:lastPrinted>2023-07-05T09:41:00Z</cp:lastPrinted>
  <dcterms:modified xsi:type="dcterms:W3CDTF">2025-11-24T09:05:01Z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79F2FE38B6634F579C55BF0BFE890E16_13</vt:lpwstr>
  </property>
  <property fmtid="{D5CDD505-2E9C-101B-9397-08002B2CF9AE}" pid="4" name="KSOTemplateDocerSaveRecord">
    <vt:lpwstr>eyJoZGlkIjoiMzU2YWNjYWM0ZjQzNTYwYzEyN2VlYjEyOTY5OGUxZDciLCJ1c2VySWQiOiIxNTUxMTYxNjMwIn0=</vt:lpwstr>
  </property>
</Properties>
</file>