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ascii="Times New Roman" w:hAnsi="Times New Roman" w:eastAsia="黑体" w:cs="Times New Roman"/>
          <w:b/>
          <w:bCs/>
          <w:color w:val="auto"/>
          <w:sz w:val="52"/>
          <w:szCs w:val="52"/>
          <w:highlight w:val="none"/>
          <w:lang w:val="en-US" w:eastAsia="zh-CN"/>
        </w:rPr>
      </w:pPr>
    </w:p>
    <w:p>
      <w:pPr>
        <w:jc w:val="both"/>
        <w:outlineLvl w:val="0"/>
        <w:rPr>
          <w:rFonts w:hint="default" w:ascii="Times New Roman" w:hAnsi="Times New Roman" w:eastAsia="黑体" w:cs="Times New Roman"/>
          <w:b/>
          <w:bCs/>
          <w:color w:val="auto"/>
          <w:sz w:val="52"/>
          <w:szCs w:val="52"/>
          <w:highlight w:val="none"/>
          <w:lang w:val="en-US" w:eastAsia="zh-CN"/>
        </w:rPr>
      </w:pPr>
    </w:p>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黑体" w:cs="Times New Roman"/>
          <w:b/>
          <w:bCs/>
          <w:color w:val="auto"/>
          <w:sz w:val="52"/>
          <w:szCs w:val="52"/>
          <w:highlight w:val="none"/>
          <w:lang w:val="en-US" w:eastAsia="zh-CN"/>
        </w:rPr>
      </w:pPr>
      <w:bookmarkStart w:id="0" w:name="_Toc26416"/>
      <w:bookmarkStart w:id="1" w:name="_Toc21564"/>
      <w:r>
        <w:rPr>
          <w:rFonts w:hint="eastAsia" w:ascii="Times New Roman" w:hAnsi="Times New Roman" w:eastAsia="黑体" w:cs="Times New Roman"/>
          <w:b/>
          <w:bCs/>
          <w:color w:val="auto"/>
          <w:sz w:val="52"/>
          <w:szCs w:val="52"/>
          <w:highlight w:val="none"/>
          <w:lang w:val="en-US" w:eastAsia="zh-CN"/>
        </w:rPr>
        <w:t>吐鲁番市</w:t>
      </w:r>
      <w:bookmarkEnd w:id="0"/>
      <w:bookmarkStart w:id="2" w:name="_Toc6574"/>
      <w:r>
        <w:rPr>
          <w:rFonts w:hint="default" w:ascii="Times New Roman" w:hAnsi="Times New Roman" w:eastAsia="黑体" w:cs="Times New Roman"/>
          <w:b/>
          <w:bCs/>
          <w:color w:val="auto"/>
          <w:sz w:val="52"/>
          <w:szCs w:val="52"/>
          <w:highlight w:val="none"/>
          <w:lang w:val="en-US" w:eastAsia="zh-CN"/>
        </w:rPr>
        <w:t>20</w:t>
      </w:r>
      <w:r>
        <w:rPr>
          <w:rFonts w:hint="eastAsia" w:ascii="Times New Roman" w:hAnsi="Times New Roman" w:eastAsia="黑体" w:cs="Times New Roman"/>
          <w:b/>
          <w:bCs/>
          <w:color w:val="auto"/>
          <w:sz w:val="52"/>
          <w:szCs w:val="52"/>
          <w:highlight w:val="none"/>
          <w:lang w:val="en-US" w:eastAsia="zh-CN"/>
        </w:rPr>
        <w:t>24</w:t>
      </w:r>
      <w:r>
        <w:rPr>
          <w:rFonts w:hint="default" w:ascii="Times New Roman" w:hAnsi="Times New Roman" w:eastAsia="黑体" w:cs="Times New Roman"/>
          <w:b/>
          <w:bCs/>
          <w:color w:val="auto"/>
          <w:sz w:val="52"/>
          <w:szCs w:val="52"/>
          <w:highlight w:val="none"/>
          <w:lang w:val="en-US" w:eastAsia="zh-CN"/>
        </w:rPr>
        <w:t>年度</w:t>
      </w:r>
      <w:bookmarkEnd w:id="1"/>
      <w:bookmarkStart w:id="3" w:name="_Toc3248"/>
    </w:p>
    <w:p>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方正小标宋_GBK" w:cs="Times New Roman"/>
          <w:b/>
          <w:bCs/>
          <w:color w:val="auto"/>
          <w:sz w:val="48"/>
          <w:szCs w:val="48"/>
          <w:highlight w:val="none"/>
          <w:lang w:val="en-US" w:eastAsia="zh-CN"/>
        </w:rPr>
      </w:pPr>
      <w:r>
        <w:rPr>
          <w:rFonts w:hint="default" w:ascii="Times New Roman" w:hAnsi="Times New Roman" w:eastAsia="黑体" w:cs="Times New Roman"/>
          <w:b/>
          <w:bCs/>
          <w:color w:val="auto"/>
          <w:sz w:val="52"/>
          <w:szCs w:val="52"/>
          <w:highlight w:val="none"/>
          <w:lang w:val="en-US" w:eastAsia="zh-CN"/>
        </w:rPr>
        <w:t>预算绩效评价报告</w:t>
      </w:r>
      <w:bookmarkEnd w:id="2"/>
      <w:bookmarkEnd w:id="3"/>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keepNext w:val="0"/>
        <w:keepLines w:val="0"/>
        <w:pageBreakBefore w:val="0"/>
        <w:widowControl/>
        <w:kinsoku/>
        <w:wordWrap/>
        <w:overflowPunct/>
        <w:topLinePunct w:val="0"/>
        <w:autoSpaceDE/>
        <w:autoSpaceDN/>
        <w:bidi w:val="0"/>
        <w:adjustRightInd/>
        <w:snapToGrid/>
        <w:spacing w:before="120" w:after="120" w:line="560" w:lineRule="exact"/>
        <w:ind w:left="2238" w:leftChars="266" w:hanging="1600" w:hangingChars="50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项目名称：2024年科技创新驱动发展</w:t>
      </w:r>
      <w:r>
        <w:rPr>
          <w:rFonts w:hint="eastAsia" w:ascii="Times New Roman" w:hAnsi="Times New Roman" w:eastAsia="黑体" w:cs="Times New Roman"/>
          <w:b w:val="0"/>
          <w:bCs w:val="0"/>
          <w:color w:val="auto"/>
          <w:sz w:val="32"/>
          <w:szCs w:val="32"/>
          <w:highlight w:val="none"/>
          <w:lang w:val="en-US" w:eastAsia="zh-CN"/>
        </w:rPr>
        <w:t>资金项目</w:t>
      </w:r>
    </w:p>
    <w:p>
      <w:pPr>
        <w:keepNext w:val="0"/>
        <w:keepLines w:val="0"/>
        <w:pageBreakBefore w:val="0"/>
        <w:widowControl/>
        <w:kinsoku/>
        <w:wordWrap/>
        <w:overflowPunct/>
        <w:topLinePunct w:val="0"/>
        <w:autoSpaceDE/>
        <w:autoSpaceDN/>
        <w:bidi w:val="0"/>
        <w:adjustRightInd/>
        <w:snapToGrid/>
        <w:spacing w:before="120" w:after="120" w:line="560" w:lineRule="exact"/>
        <w:ind w:firstLine="640" w:firstLineChars="20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项目单位：吐鲁番市科学技术局</w:t>
      </w:r>
    </w:p>
    <w:p>
      <w:pPr>
        <w:keepNext w:val="0"/>
        <w:keepLines w:val="0"/>
        <w:pageBreakBefore w:val="0"/>
        <w:widowControl/>
        <w:kinsoku/>
        <w:wordWrap/>
        <w:overflowPunct/>
        <w:topLinePunct w:val="0"/>
        <w:autoSpaceDE/>
        <w:autoSpaceDN/>
        <w:bidi w:val="0"/>
        <w:adjustRightInd/>
        <w:snapToGrid/>
        <w:spacing w:before="120" w:after="120" w:line="560" w:lineRule="exact"/>
        <w:ind w:firstLine="640" w:firstLineChars="200"/>
        <w:jc w:val="left"/>
        <w:rPr>
          <w:rFonts w:hint="default" w:ascii="Times New Roman" w:hAnsi="Times New Roman" w:eastAsia="黑体" w:cs="Times New Roman"/>
          <w:b w:val="0"/>
          <w:bCs w:val="0"/>
          <w:color w:val="auto"/>
          <w:sz w:val="32"/>
          <w:szCs w:val="32"/>
          <w:highlight w:val="none"/>
          <w:lang w:val="en-US" w:eastAsia="zh-CN"/>
        </w:rPr>
      </w:pPr>
      <w:r>
        <w:rPr>
          <w:rStyle w:val="16"/>
          <w:rFonts w:hint="default" w:ascii="Times New Roman" w:hAnsi="Times New Roman" w:eastAsia="黑体" w:cs="Times New Roman"/>
          <w:b w:val="0"/>
          <w:i w:val="0"/>
          <w:caps w:val="0"/>
          <w:color w:val="auto"/>
          <w:spacing w:val="0"/>
          <w:w w:val="100"/>
          <w:kern w:val="0"/>
          <w:sz w:val="32"/>
          <w:szCs w:val="32"/>
          <w:highlight w:val="none"/>
          <w:lang w:val="en-US" w:eastAsia="zh-CN" w:bidi="en-US"/>
        </w:rPr>
        <w:t>主管部门：吐鲁番市科学技术局</w:t>
      </w:r>
    </w:p>
    <w:p>
      <w:pPr>
        <w:keepNext w:val="0"/>
        <w:keepLines w:val="0"/>
        <w:pageBreakBefore w:val="0"/>
        <w:widowControl/>
        <w:kinsoku/>
        <w:wordWrap/>
        <w:overflowPunct/>
        <w:topLinePunct w:val="0"/>
        <w:autoSpaceDE/>
        <w:autoSpaceDN/>
        <w:bidi w:val="0"/>
        <w:adjustRightInd/>
        <w:snapToGrid/>
        <w:spacing w:before="120" w:beforeAutospacing="0" w:after="120" w:afterAutospacing="0" w:line="560" w:lineRule="exact"/>
        <w:ind w:firstLine="640" w:firstLineChars="200"/>
        <w:jc w:val="left"/>
        <w:textAlignment w:val="baseline"/>
        <w:rPr>
          <w:rStyle w:val="16"/>
          <w:rFonts w:hint="default" w:ascii="Times New Roman" w:hAnsi="Times New Roman" w:eastAsia="黑体" w:cs="Times New Roman"/>
          <w:b w:val="0"/>
          <w:i w:val="0"/>
          <w:caps w:val="0"/>
          <w:color w:val="auto"/>
          <w:spacing w:val="0"/>
          <w:w w:val="100"/>
          <w:kern w:val="0"/>
          <w:sz w:val="32"/>
          <w:szCs w:val="32"/>
          <w:highlight w:val="none"/>
          <w:lang w:val="en-US" w:eastAsia="zh-CN" w:bidi="en-US"/>
        </w:rPr>
      </w:pPr>
      <w:r>
        <w:rPr>
          <w:rStyle w:val="16"/>
          <w:rFonts w:hint="default" w:ascii="Times New Roman" w:hAnsi="Times New Roman" w:eastAsia="黑体" w:cs="Times New Roman"/>
          <w:b w:val="0"/>
          <w:i w:val="0"/>
          <w:caps w:val="0"/>
          <w:color w:val="auto"/>
          <w:spacing w:val="0"/>
          <w:w w:val="100"/>
          <w:kern w:val="0"/>
          <w:sz w:val="32"/>
          <w:szCs w:val="32"/>
          <w:highlight w:val="none"/>
          <w:lang w:val="en-US" w:eastAsia="zh-CN" w:bidi="en-US"/>
        </w:rPr>
        <w:t>委托单位：</w:t>
      </w:r>
      <w:r>
        <w:rPr>
          <w:rStyle w:val="16"/>
          <w:rFonts w:hint="eastAsia" w:ascii="Times New Roman" w:hAnsi="Times New Roman" w:eastAsia="黑体" w:cs="Times New Roman"/>
          <w:b w:val="0"/>
          <w:i w:val="0"/>
          <w:caps w:val="0"/>
          <w:color w:val="auto"/>
          <w:spacing w:val="0"/>
          <w:w w:val="100"/>
          <w:kern w:val="0"/>
          <w:sz w:val="32"/>
          <w:szCs w:val="32"/>
          <w:highlight w:val="none"/>
          <w:lang w:val="en-US" w:eastAsia="zh-CN" w:bidi="en-US"/>
        </w:rPr>
        <w:t>吐鲁番市财政局</w:t>
      </w:r>
    </w:p>
    <w:p>
      <w:pPr>
        <w:keepNext w:val="0"/>
        <w:keepLines w:val="0"/>
        <w:pageBreakBefore w:val="0"/>
        <w:widowControl/>
        <w:kinsoku/>
        <w:wordWrap/>
        <w:overflowPunct/>
        <w:topLinePunct w:val="0"/>
        <w:autoSpaceDE/>
        <w:autoSpaceDN/>
        <w:bidi w:val="0"/>
        <w:adjustRightInd/>
        <w:snapToGrid/>
        <w:spacing w:before="120" w:after="120" w:line="240" w:lineRule="auto"/>
        <w:ind w:firstLine="640" w:firstLineChars="20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评价机构</w:t>
      </w:r>
      <w:r>
        <w:rPr>
          <w:rStyle w:val="16"/>
          <w:rFonts w:hint="default" w:ascii="Times New Roman" w:hAnsi="Times New Roman" w:eastAsia="黑体" w:cs="Times New Roman"/>
          <w:b w:val="0"/>
          <w:i w:val="0"/>
          <w:caps w:val="0"/>
          <w:color w:val="auto"/>
          <w:spacing w:val="0"/>
          <w:w w:val="100"/>
          <w:kern w:val="0"/>
          <w:sz w:val="32"/>
          <w:szCs w:val="32"/>
          <w:highlight w:val="none"/>
          <w:lang w:val="en-US" w:eastAsia="zh-CN" w:bidi="en-US"/>
        </w:rPr>
        <w:t>：</w:t>
      </w:r>
      <w:r>
        <w:rPr>
          <w:rStyle w:val="16"/>
          <w:rFonts w:hint="eastAsia" w:ascii="Times New Roman" w:hAnsi="Times New Roman" w:eastAsia="黑体" w:cs="Times New Roman"/>
          <w:b w:val="0"/>
          <w:i w:val="0"/>
          <w:caps w:val="0"/>
          <w:color w:val="auto"/>
          <w:spacing w:val="0"/>
          <w:w w:val="100"/>
          <w:kern w:val="0"/>
          <w:sz w:val="32"/>
          <w:szCs w:val="32"/>
          <w:highlight w:val="none"/>
          <w:lang w:val="en-US" w:eastAsia="zh-CN" w:bidi="en-US"/>
        </w:rPr>
        <w:t>新疆财讯睿智信息咨询有限公司</w:t>
      </w:r>
    </w:p>
    <w:p>
      <w:pPr>
        <w:jc w:val="center"/>
        <w:rPr>
          <w:rFonts w:hint="eastAsia" w:ascii="Times New Roman" w:hAnsi="Times New Roman" w:eastAsia="黑体" w:cs="Times New Roman"/>
          <w:b w:val="0"/>
          <w:bCs w:val="0"/>
          <w:color w:val="auto"/>
          <w:sz w:val="32"/>
          <w:szCs w:val="32"/>
          <w:highlight w:val="none"/>
          <w:lang w:val="en-US" w:eastAsia="zh-CN"/>
        </w:rPr>
      </w:pPr>
    </w:p>
    <w:p>
      <w:pPr>
        <w:jc w:val="center"/>
        <w:rPr>
          <w:rFonts w:hint="default" w:ascii="Times New Roman" w:hAnsi="Times New Roman" w:eastAsia="黑体" w:cs="Times New Roman"/>
          <w:b w:val="0"/>
          <w:bCs w:val="0"/>
          <w:color w:val="auto"/>
          <w:sz w:val="32"/>
          <w:szCs w:val="32"/>
          <w:highlight w:val="yellow"/>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hint="eastAsia" w:ascii="Times New Roman" w:hAnsi="Times New Roman" w:eastAsia="黑体" w:cs="Times New Roman"/>
          <w:b w:val="0"/>
          <w:bCs w:val="0"/>
          <w:color w:val="auto"/>
          <w:sz w:val="32"/>
          <w:szCs w:val="32"/>
          <w:highlight w:val="none"/>
          <w:lang w:val="en-US" w:eastAsia="zh-CN"/>
        </w:rPr>
        <w:t>2025</w:t>
      </w:r>
      <w:r>
        <w:rPr>
          <w:rFonts w:hint="default" w:ascii="Times New Roman" w:hAnsi="Times New Roman" w:eastAsia="黑体" w:cs="Times New Roman"/>
          <w:b w:val="0"/>
          <w:bCs w:val="0"/>
          <w:color w:val="auto"/>
          <w:sz w:val="32"/>
          <w:szCs w:val="32"/>
          <w:highlight w:val="none"/>
          <w:lang w:val="en-US" w:eastAsia="zh-CN"/>
        </w:rPr>
        <w:t>年</w:t>
      </w:r>
      <w:r>
        <w:rPr>
          <w:rFonts w:hint="eastAsia" w:ascii="Times New Roman" w:hAnsi="Times New Roman" w:eastAsia="黑体" w:cs="Times New Roman"/>
          <w:b w:val="0"/>
          <w:bCs w:val="0"/>
          <w:color w:val="auto"/>
          <w:sz w:val="32"/>
          <w:szCs w:val="32"/>
          <w:highlight w:val="none"/>
          <w:lang w:val="en-US" w:eastAsia="zh-CN"/>
        </w:rPr>
        <w:t>7</w:t>
      </w:r>
      <w:r>
        <w:rPr>
          <w:rFonts w:hint="default" w:ascii="Times New Roman" w:hAnsi="Times New Roman" w:eastAsia="黑体" w:cs="Times New Roman"/>
          <w:b w:val="0"/>
          <w:bCs w:val="0"/>
          <w:color w:val="auto"/>
          <w:sz w:val="32"/>
          <w:szCs w:val="32"/>
          <w:highlight w:val="none"/>
          <w:lang w:val="en-US" w:eastAsia="zh-CN"/>
        </w:rPr>
        <w:t>月</w:t>
      </w:r>
    </w:p>
    <w:p>
      <w:pPr>
        <w:keepNext w:val="0"/>
        <w:keepLines w:val="0"/>
        <w:pageBreakBefore w:val="0"/>
        <w:numPr>
          <w:ilvl w:val="0"/>
          <w:numId w:val="1"/>
        </w:numPr>
        <w:kinsoku/>
        <w:wordWrap/>
        <w:overflowPunct/>
        <w:topLinePunct/>
        <w:autoSpaceDE/>
        <w:autoSpaceDN/>
        <w:bidi w:val="0"/>
        <w:adjustRightInd/>
        <w:snapToGrid/>
        <w:spacing w:beforeAutospacing="0" w:afterAutospacing="0" w:line="560" w:lineRule="exact"/>
        <w:ind w:firstLine="640" w:firstLineChars="200"/>
        <w:textAlignment w:val="auto"/>
        <w:outlineLvl w:val="0"/>
        <w:rPr>
          <w:rFonts w:hint="default" w:ascii="Times New Roman" w:hAnsi="Times New Roman" w:eastAsia="黑体" w:cs="Times New Roman"/>
          <w:b w:val="0"/>
          <w:bCs w:val="0"/>
          <w:color w:val="auto"/>
          <w:kern w:val="0"/>
          <w:sz w:val="32"/>
          <w:szCs w:val="32"/>
          <w:highlight w:val="none"/>
          <w:lang w:val="en-US" w:eastAsia="zh-CN" w:bidi="en-US"/>
        </w:rPr>
      </w:pPr>
      <w:bookmarkStart w:id="4" w:name="_Toc28467"/>
      <w:bookmarkStart w:id="5" w:name="_Toc7856"/>
      <w:bookmarkStart w:id="6" w:name="_Toc21206"/>
      <w:bookmarkStart w:id="7" w:name="_Toc8916"/>
      <w:bookmarkStart w:id="8" w:name="_Toc11842"/>
      <w:bookmarkStart w:id="9" w:name="_Toc25687"/>
      <w:bookmarkStart w:id="10" w:name="_Toc7128"/>
      <w:r>
        <w:rPr>
          <w:rFonts w:hint="default" w:ascii="Times New Roman" w:hAnsi="Times New Roman" w:eastAsia="黑体" w:cs="Times New Roman"/>
          <w:b w:val="0"/>
          <w:bCs w:val="0"/>
          <w:color w:val="auto"/>
          <w:kern w:val="0"/>
          <w:sz w:val="32"/>
          <w:szCs w:val="32"/>
          <w:highlight w:val="none"/>
          <w:lang w:bidi="en-US"/>
        </w:rPr>
        <w:t>项目</w:t>
      </w:r>
      <w:r>
        <w:rPr>
          <w:rFonts w:hint="default" w:ascii="Times New Roman" w:hAnsi="Times New Roman" w:eastAsia="黑体" w:cs="Times New Roman"/>
          <w:b w:val="0"/>
          <w:bCs w:val="0"/>
          <w:color w:val="auto"/>
          <w:kern w:val="0"/>
          <w:sz w:val="32"/>
          <w:szCs w:val="32"/>
          <w:highlight w:val="none"/>
          <w:lang w:val="en-US" w:eastAsia="zh-CN" w:bidi="en-US"/>
        </w:rPr>
        <w:t>概述</w:t>
      </w:r>
      <w:bookmarkEnd w:id="4"/>
      <w:bookmarkEnd w:id="5"/>
      <w:bookmarkEnd w:id="6"/>
      <w:bookmarkEnd w:id="7"/>
      <w:bookmarkEnd w:id="8"/>
      <w:bookmarkEnd w:id="9"/>
      <w:bookmarkEnd w:id="10"/>
    </w:p>
    <w:p>
      <w:pPr>
        <w:pStyle w:val="2"/>
        <w:keepNext w:val="0"/>
        <w:keepLines w:val="0"/>
        <w:pageBreakBefore w:val="0"/>
        <w:numPr>
          <w:ilvl w:val="0"/>
          <w:numId w:val="2"/>
        </w:numPr>
        <w:kinsoku/>
        <w:wordWrap/>
        <w:overflowPunct/>
        <w:topLinePunct/>
        <w:autoSpaceDE/>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项目概述</w:t>
      </w: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十三五”以来，在自治区党委、自治区人民政府的正确领导下，在自治区科技厅的大力支持下，吐鲁番市科技工作紧紧围绕社会稳定和长治久安总目标，加快推进创新型吐鲁番建设，不断深化科技体制改革，加速推进科技创新和成果转化，科技对全市经济社会发展的支撑引领作用日益增强，为加速“五化”同步发展，实现资源开发可持续、生态环境可持续提供了有力支撑。</w:t>
      </w: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开展该项目旨在认真贯彻党的二十大精神，贯彻落实中央经济工作会议和自治区科技创新大会精神，深入实施创新驱动发展战略，践行市委“</w:t>
      </w:r>
      <w:r>
        <w:rPr>
          <w:rFonts w:hint="eastAsia" w:ascii="Times New Roman" w:hAnsi="Times New Roman" w:eastAsia="仿宋_GB2312" w:cs="Times New Roman"/>
          <w:b w:val="0"/>
          <w:bCs/>
          <w:color w:val="auto"/>
          <w:kern w:val="0"/>
          <w:sz w:val="32"/>
          <w:szCs w:val="32"/>
          <w:highlight w:val="none"/>
          <w:lang w:val="en-US" w:eastAsia="zh-CN" w:bidi="ar"/>
        </w:rPr>
        <w:t>1535</w:t>
      </w:r>
      <w:r>
        <w:rPr>
          <w:rFonts w:hint="eastAsia" w:ascii="Times New Roman" w:hAnsi="Times New Roman" w:eastAsia="仿宋_GB2312" w:cs="仿宋_GB2312"/>
          <w:kern w:val="2"/>
          <w:sz w:val="32"/>
          <w:szCs w:val="32"/>
          <w:lang w:val="en-US" w:eastAsia="zh-CN" w:bidi="ar-SA"/>
        </w:rPr>
        <w:t>”工作思路，落实《吐鲁番市科技创新“十四五”规划》，强化科技同经济对接、创新成果同产业对接、创新项目同现实生产力对接，促进创新链产业链深度融合，充分发挥科技创新对高质量发展的支撑引领作用，根据《吐鲁番市科技计划项目管理办法》（吐市科字〔</w:t>
      </w:r>
      <w:r>
        <w:rPr>
          <w:rFonts w:hint="eastAsia" w:ascii="Times New Roman" w:hAnsi="Times New Roman" w:eastAsia="仿宋_GB2312" w:cs="Times New Roman"/>
          <w:b w:val="0"/>
          <w:bCs/>
          <w:color w:val="auto"/>
          <w:kern w:val="0"/>
          <w:sz w:val="32"/>
          <w:szCs w:val="32"/>
          <w:highlight w:val="none"/>
          <w:lang w:val="en-US" w:eastAsia="zh-CN" w:bidi="ar"/>
        </w:rPr>
        <w:t>2023</w:t>
      </w:r>
      <w:r>
        <w:rPr>
          <w:rFonts w:hint="eastAsia" w:ascii="Times New Roman" w:hAnsi="Times New Roman" w:eastAsia="仿宋_GB2312" w:cs="仿宋_GB2312"/>
          <w:kern w:val="2"/>
          <w:sz w:val="32"/>
          <w:szCs w:val="32"/>
          <w:lang w:val="en-US" w:eastAsia="zh-CN" w:bidi="ar-SA"/>
        </w:rPr>
        <w:t>〕</w:t>
      </w:r>
      <w:r>
        <w:rPr>
          <w:rFonts w:hint="eastAsia" w:ascii="Times New Roman" w:hAnsi="Times New Roman" w:eastAsia="仿宋_GB2312" w:cs="Times New Roman"/>
          <w:b w:val="0"/>
          <w:bCs/>
          <w:color w:val="auto"/>
          <w:kern w:val="0"/>
          <w:sz w:val="32"/>
          <w:szCs w:val="32"/>
          <w:highlight w:val="none"/>
          <w:lang w:val="en-US" w:eastAsia="zh-CN" w:bidi="ar"/>
        </w:rPr>
        <w:t>27</w:t>
      </w:r>
      <w:r>
        <w:rPr>
          <w:rFonts w:hint="eastAsia" w:ascii="Times New Roman" w:hAnsi="Times New Roman" w:eastAsia="仿宋_GB2312" w:cs="仿宋_GB2312"/>
          <w:kern w:val="2"/>
          <w:sz w:val="32"/>
          <w:szCs w:val="32"/>
          <w:lang w:val="en-US" w:eastAsia="zh-CN" w:bidi="ar-SA"/>
        </w:rPr>
        <w:t>号）的相关要求，发布</w:t>
      </w:r>
      <w:r>
        <w:rPr>
          <w:rFonts w:hint="eastAsia" w:ascii="Times New Roman" w:hAnsi="Times New Roman" w:eastAsia="仿宋_GB2312" w:cs="Times New Roman"/>
          <w:b w:val="0"/>
          <w:bCs/>
          <w:color w:val="auto"/>
          <w:kern w:val="0"/>
          <w:sz w:val="32"/>
          <w:szCs w:val="32"/>
          <w:highlight w:val="none"/>
          <w:lang w:val="en-US" w:eastAsia="zh-CN" w:bidi="ar"/>
        </w:rPr>
        <w:t>2024</w:t>
      </w:r>
      <w:r>
        <w:rPr>
          <w:rFonts w:hint="eastAsia" w:ascii="Times New Roman" w:hAnsi="Times New Roman" w:eastAsia="仿宋_GB2312" w:cs="仿宋_GB2312"/>
          <w:kern w:val="2"/>
          <w:sz w:val="32"/>
          <w:szCs w:val="32"/>
          <w:lang w:val="en-US" w:eastAsia="zh-CN" w:bidi="ar-SA"/>
        </w:rPr>
        <w:t>年度吐鲁番市科技计划项目申报指南，组织实施市本级科技计划项目。</w:t>
      </w:r>
    </w:p>
    <w:p>
      <w:pPr>
        <w:keepNext w:val="0"/>
        <w:keepLines w:val="0"/>
        <w:pageBreakBefore w:val="0"/>
        <w:widowControl w:val="0"/>
        <w:numPr>
          <w:ilvl w:val="0"/>
          <w:numId w:val="2"/>
        </w:numPr>
        <w:kinsoku/>
        <w:wordWrap/>
        <w:overflowPunct/>
        <w:topLinePunct/>
        <w:autoSpaceDE/>
        <w:autoSpaceDN/>
        <w:bidi w:val="0"/>
        <w:adjustRightInd/>
        <w:snapToGrid/>
        <w:spacing w:beforeAutospacing="0" w:afterAutospacing="0" w:line="560" w:lineRule="exact"/>
        <w:ind w:left="0" w:leftChars="0" w:firstLine="643" w:firstLineChars="200"/>
        <w:jc w:val="both"/>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项目实施情况</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组织开展市本级科技计划项目申报，共收到项目申报</w:t>
      </w:r>
      <w:r>
        <w:rPr>
          <w:rFonts w:hint="eastAsia" w:ascii="Times New Roman" w:hAnsi="Times New Roman" w:eastAsia="仿宋_GB2312" w:cs="Times New Roman"/>
          <w:b w:val="0"/>
          <w:bCs/>
          <w:color w:val="auto"/>
          <w:kern w:val="0"/>
          <w:sz w:val="32"/>
          <w:szCs w:val="32"/>
          <w:highlight w:val="none"/>
          <w:lang w:val="en-US" w:eastAsia="zh-CN" w:bidi="ar"/>
        </w:rPr>
        <w:t>84</w:t>
      </w:r>
      <w:r>
        <w:rPr>
          <w:rFonts w:hint="eastAsia" w:ascii="Times New Roman" w:hAnsi="Times New Roman" w:eastAsia="仿宋_GB2312" w:cs="仿宋_GB2312"/>
          <w:kern w:val="2"/>
          <w:sz w:val="32"/>
          <w:szCs w:val="32"/>
          <w:lang w:val="en-US" w:eastAsia="zh-CN" w:bidi="ar-SA"/>
        </w:rPr>
        <w:t>项，覆盖绿色新能源、煤炭煤电煤化工、西甜瓜、葡萄及葡萄酒、特色畜牧养殖、医疗卫生和社会治理等方面。经网上初评、专家论证、党组会审议、领导小组审定、实地检查和公示，确定立项</w:t>
      </w:r>
      <w:r>
        <w:rPr>
          <w:rFonts w:hint="eastAsia" w:ascii="Times New Roman" w:hAnsi="Times New Roman" w:eastAsia="仿宋_GB2312" w:cs="Times New Roman"/>
          <w:b w:val="0"/>
          <w:bCs/>
          <w:color w:val="auto"/>
          <w:kern w:val="0"/>
          <w:sz w:val="32"/>
          <w:szCs w:val="32"/>
          <w:highlight w:val="none"/>
          <w:lang w:val="en-US" w:eastAsia="zh-CN" w:bidi="ar"/>
        </w:rPr>
        <w:t>20</w:t>
      </w:r>
      <w:r>
        <w:rPr>
          <w:rFonts w:hint="eastAsia" w:ascii="Times New Roman" w:hAnsi="Times New Roman" w:eastAsia="仿宋_GB2312" w:cs="仿宋_GB2312"/>
          <w:kern w:val="2"/>
          <w:sz w:val="32"/>
          <w:szCs w:val="32"/>
          <w:lang w:val="en-US" w:eastAsia="zh-CN" w:bidi="ar-SA"/>
        </w:rPr>
        <w:t>项。</w:t>
      </w:r>
    </w:p>
    <w:p>
      <w:pPr>
        <w:pStyle w:val="4"/>
        <w:keepNext w:val="0"/>
        <w:keepLines w:val="0"/>
        <w:pageBreakBefore w:val="0"/>
        <w:widowControl w:val="0"/>
        <w:kinsoku/>
        <w:wordWrap w:val="0"/>
        <w:overflowPunct w:val="0"/>
        <w:topLinePunct w:val="0"/>
        <w:autoSpaceDE w:val="0"/>
        <w:autoSpaceDN w:val="0"/>
        <w:bidi w:val="0"/>
        <w:adjustRightInd w:val="0"/>
        <w:snapToGrid w:val="0"/>
        <w:spacing w:line="560" w:lineRule="exact"/>
        <w:ind w:right="0" w:firstLine="640" w:firstLineChars="200"/>
        <w:jc w:val="both"/>
        <w:textAlignment w:val="baseline"/>
        <w:rPr>
          <w:rFonts w:hint="eastAsia" w:ascii="Times New Roman" w:hAnsi="Times New Roman" w:eastAsia="仿宋_GB2312" w:cs="仿宋_GB2312"/>
          <w:spacing w:val="0"/>
          <w:kern w:val="2"/>
          <w:sz w:val="32"/>
          <w:szCs w:val="32"/>
          <w:lang w:val="en-US" w:eastAsia="zh-CN" w:bidi="ar-SA"/>
        </w:rPr>
      </w:pPr>
      <w:r>
        <w:rPr>
          <w:rFonts w:hint="eastAsia" w:ascii="Times New Roman" w:hAnsi="Times New Roman" w:eastAsia="仿宋_GB2312" w:cs="仿宋_GB2312"/>
          <w:spacing w:val="0"/>
          <w:kern w:val="2"/>
          <w:sz w:val="32"/>
          <w:szCs w:val="32"/>
          <w:lang w:val="en-US" w:eastAsia="zh-CN" w:bidi="ar-SA"/>
        </w:rPr>
        <w:t>目前，新能源测试已初见成效，化工领域进展顺利，涉及农业领域的项目承担单位按照项目实施需求，及时规划项目用地、筹集农肥物资、开展实验测试、收集数据信息，保障项目研究顺利推进。葡萄干蒸馏技术成型，鳖苗养殖初具规模，医疗项目执行严谨，严格按照项目课题内容，完成实验研究任务，通过数据收集、核查和分析</w:t>
      </w:r>
      <w:r>
        <w:rPr>
          <w:rFonts w:hint="eastAsia" w:ascii="Times New Roman" w:hAnsi="Times New Roman" w:cs="仿宋_GB2312"/>
          <w:spacing w:val="0"/>
          <w:kern w:val="2"/>
          <w:sz w:val="32"/>
          <w:szCs w:val="32"/>
          <w:lang w:val="en-US" w:eastAsia="zh-CN" w:bidi="ar-SA"/>
        </w:rPr>
        <w:t>，</w:t>
      </w:r>
      <w:r>
        <w:rPr>
          <w:rFonts w:hint="eastAsia" w:ascii="Times New Roman" w:hAnsi="Times New Roman" w:eastAsia="仿宋_GB2312" w:cs="仿宋_GB2312"/>
          <w:spacing w:val="0"/>
          <w:kern w:val="2"/>
          <w:sz w:val="32"/>
          <w:szCs w:val="32"/>
          <w:lang w:val="en-US" w:eastAsia="zh-CN" w:bidi="ar-SA"/>
        </w:rPr>
        <w:t>得出理论支撑，保障后续工作顺利推进。</w:t>
      </w:r>
    </w:p>
    <w:p>
      <w:pPr>
        <w:keepNext w:val="0"/>
        <w:keepLines w:val="0"/>
        <w:pageBreakBefore w:val="0"/>
        <w:widowControl w:val="0"/>
        <w:kinsoku/>
        <w:wordWrap w:val="0"/>
        <w:overflowPunct w:val="0"/>
        <w:topLinePunct w:val="0"/>
        <w:autoSpaceDE w:val="0"/>
        <w:autoSpaceDN w:val="0"/>
        <w:bidi w:val="0"/>
        <w:adjustRightInd/>
        <w:snapToGrid/>
        <w:spacing w:line="560" w:lineRule="exact"/>
        <w:ind w:firstLine="640" w:firstLineChars="200"/>
        <w:jc w:val="both"/>
        <w:textAlignment w:val="auto"/>
        <w:rPr>
          <w:rFonts w:hint="default" w:ascii="Times New Roman" w:hAnsi="Times New Roman"/>
          <w:lang w:val="en-US" w:eastAsia="zh-CN"/>
        </w:rPr>
      </w:pPr>
      <w:r>
        <w:rPr>
          <w:rFonts w:hint="eastAsia" w:ascii="Times New Roman" w:hAnsi="Times New Roman" w:eastAsia="仿宋_GB2312" w:cs="Times New Roman"/>
          <w:b w:val="0"/>
          <w:bCs/>
          <w:color w:val="auto"/>
          <w:kern w:val="0"/>
          <w:sz w:val="32"/>
          <w:szCs w:val="32"/>
          <w:highlight w:val="none"/>
          <w:lang w:val="en-US" w:eastAsia="zh-CN" w:bidi="ar"/>
        </w:rPr>
        <w:t>2024</w:t>
      </w:r>
      <w:r>
        <w:rPr>
          <w:rFonts w:hint="eastAsia" w:ascii="Times New Roman" w:hAnsi="Times New Roman" w:eastAsia="仿宋_GB2312" w:cs="仿宋_GB2312"/>
          <w:kern w:val="2"/>
          <w:sz w:val="32"/>
          <w:szCs w:val="32"/>
          <w:lang w:val="en-US" w:eastAsia="zh-CN" w:bidi="ar-SA"/>
        </w:rPr>
        <w:t>年</w:t>
      </w:r>
      <w:r>
        <w:rPr>
          <w:rFonts w:hint="eastAsia" w:ascii="Times New Roman" w:hAnsi="Times New Roman" w:eastAsia="仿宋_GB2312" w:cs="Times New Roman"/>
          <w:b w:val="0"/>
          <w:bCs/>
          <w:color w:val="auto"/>
          <w:kern w:val="0"/>
          <w:sz w:val="32"/>
          <w:szCs w:val="32"/>
          <w:highlight w:val="none"/>
          <w:lang w:val="en-US" w:eastAsia="zh-CN" w:bidi="ar"/>
        </w:rPr>
        <w:t>7</w:t>
      </w:r>
      <w:r>
        <w:rPr>
          <w:rFonts w:hint="eastAsia" w:ascii="Times New Roman" w:hAnsi="Times New Roman" w:eastAsia="仿宋_GB2312" w:cs="仿宋_GB2312"/>
          <w:kern w:val="2"/>
          <w:sz w:val="32"/>
          <w:szCs w:val="32"/>
          <w:lang w:val="en-US" w:eastAsia="zh-CN" w:bidi="ar-SA"/>
        </w:rPr>
        <w:t>月，在吐鲁番市委、市科技局、市财政局等相关部门单位领导的支持以及各部门通力配合下，成功举办了第十一届新疆创新创业大赛（吐鲁番赛区）暨第八届吐鲁番市创新创业大赛，组织</w:t>
      </w:r>
      <w:r>
        <w:rPr>
          <w:rFonts w:hint="eastAsia" w:ascii="Times New Roman" w:hAnsi="Times New Roman" w:eastAsia="仿宋_GB2312" w:cs="Times New Roman"/>
          <w:b w:val="0"/>
          <w:bCs/>
          <w:color w:val="auto"/>
          <w:kern w:val="0"/>
          <w:sz w:val="32"/>
          <w:szCs w:val="32"/>
          <w:highlight w:val="none"/>
          <w:lang w:val="en-US" w:eastAsia="zh-CN" w:bidi="ar"/>
        </w:rPr>
        <w:t>29</w:t>
      </w:r>
      <w:r>
        <w:rPr>
          <w:rFonts w:hint="eastAsia" w:ascii="Times New Roman" w:hAnsi="Times New Roman" w:eastAsia="仿宋_GB2312" w:cs="仿宋_GB2312"/>
          <w:kern w:val="2"/>
          <w:sz w:val="32"/>
          <w:szCs w:val="32"/>
          <w:lang w:val="en-US" w:eastAsia="zh-CN" w:bidi="ar-SA"/>
        </w:rPr>
        <w:t>家企业报名参赛，最终角逐出</w:t>
      </w:r>
      <w:r>
        <w:rPr>
          <w:rFonts w:hint="eastAsia" w:ascii="Times New Roman" w:hAnsi="Times New Roman" w:eastAsia="仿宋_GB2312" w:cs="Times New Roman"/>
          <w:b w:val="0"/>
          <w:bCs/>
          <w:color w:val="auto"/>
          <w:kern w:val="0"/>
          <w:sz w:val="32"/>
          <w:szCs w:val="32"/>
          <w:highlight w:val="none"/>
          <w:lang w:val="en-US" w:eastAsia="zh-CN" w:bidi="ar"/>
        </w:rPr>
        <w:t>12</w:t>
      </w:r>
      <w:r>
        <w:rPr>
          <w:rFonts w:hint="eastAsia" w:ascii="Times New Roman" w:hAnsi="Times New Roman" w:eastAsia="仿宋_GB2312" w:cs="仿宋_GB2312"/>
          <w:kern w:val="2"/>
          <w:sz w:val="32"/>
          <w:szCs w:val="32"/>
          <w:lang w:val="en-US" w:eastAsia="zh-CN" w:bidi="ar-SA"/>
        </w:rPr>
        <w:t>家企业分别获得一、二、三等奖和优秀奖。</w:t>
      </w:r>
    </w:p>
    <w:p>
      <w:pPr>
        <w:keepNext w:val="0"/>
        <w:keepLines w:val="0"/>
        <w:pageBreakBefore w:val="0"/>
        <w:widowControl w:val="0"/>
        <w:kinsoku/>
        <w:wordWrap/>
        <w:overflowPunct/>
        <w:topLinePunct/>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（三）绩效目标</w:t>
      </w:r>
    </w:p>
    <w:p>
      <w:pPr>
        <w:keepNext w:val="0"/>
        <w:keepLines w:val="0"/>
        <w:pageBreakBefore w:val="0"/>
        <w:widowControl/>
        <w:kinsoku/>
        <w:wordWrap/>
        <w:overflowPunct/>
        <w:topLinePunct/>
        <w:autoSpaceDE/>
        <w:autoSpaceDN/>
        <w:bidi w:val="0"/>
        <w:adjustRightInd w:val="0"/>
        <w:snapToGrid/>
        <w:spacing w:beforeAutospacing="0" w:afterAutospacing="0" w:line="560" w:lineRule="exact"/>
        <w:ind w:firstLine="640" w:firstLineChars="200"/>
        <w:jc w:val="both"/>
        <w:textAlignment w:val="baseline"/>
        <w:outlineLvl w:val="2"/>
        <w:rPr>
          <w:rFonts w:hint="default" w:ascii="Times New Roman" w:hAnsi="Times New Roman" w:eastAsia="仿宋_GB2312" w:cs="Times New Roman"/>
          <w:b/>
          <w:bCs w:val="0"/>
          <w:color w:val="auto"/>
          <w:kern w:val="0"/>
          <w:sz w:val="32"/>
          <w:szCs w:val="32"/>
          <w:highlight w:val="none"/>
          <w:lang w:bidi="ar"/>
        </w:rPr>
      </w:pPr>
      <w:r>
        <w:rPr>
          <w:rFonts w:hint="default" w:ascii="Times New Roman" w:hAnsi="Times New Roman" w:eastAsia="仿宋_GB2312" w:cs="Times New Roman"/>
          <w:b w:val="0"/>
          <w:bCs/>
          <w:color w:val="auto"/>
          <w:kern w:val="0"/>
          <w:sz w:val="32"/>
          <w:szCs w:val="32"/>
          <w:highlight w:val="none"/>
          <w:lang w:bidi="ar"/>
        </w:rPr>
        <w:t>1.</w:t>
      </w:r>
      <w:r>
        <w:rPr>
          <w:rFonts w:hint="default" w:ascii="Times New Roman" w:hAnsi="Times New Roman" w:eastAsia="仿宋_GB2312" w:cs="Times New Roman"/>
          <w:b/>
          <w:bCs w:val="0"/>
          <w:color w:val="auto"/>
          <w:kern w:val="0"/>
          <w:sz w:val="32"/>
          <w:szCs w:val="32"/>
          <w:highlight w:val="none"/>
          <w:lang w:bidi="ar"/>
        </w:rPr>
        <w:t>总目标</w:t>
      </w:r>
    </w:p>
    <w:p>
      <w:pPr>
        <w:keepNext w:val="0"/>
        <w:keepLines w:val="0"/>
        <w:pageBreakBefore w:val="0"/>
        <w:widowControl/>
        <w:kinsoku/>
        <w:wordWrap/>
        <w:overflowPunct/>
        <w:topLinePunct/>
        <w:autoSpaceDE/>
        <w:autoSpaceDN/>
        <w:bidi w:val="0"/>
        <w:adjustRightInd w:val="0"/>
        <w:snapToGrid/>
        <w:spacing w:beforeAutospacing="0" w:afterAutospacing="0" w:line="560" w:lineRule="exact"/>
        <w:ind w:firstLine="640" w:firstLineChars="200"/>
        <w:jc w:val="both"/>
        <w:textAlignment w:val="baseline"/>
        <w:outlineLvl w:val="2"/>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深入贯彻落实党的二十届三中全会精神，贯彻落实第三次中央新疆工作座谈会精神，贯彻落实全国和自治区科技大会精神，完整准确全面贯彻新时代党的治疆方略，落实市委、市政府工作安排，发挥科技部门职能，深入实施创新驱动发展战略，围绕“八大产业集群”和“20条产业链”，推动“五大战略”提质升级，充分发挥科技创新引领作用，开展关键技术研究，促进新技术、新成果转化及推广应用，解决在农业、工业、社会发展中存在的瓶颈问题；加强科技创新主体地位，积极组织高新技术企业和科技型中小企业建设；组织创建各类科技创新平台，开展创新创业活动，举办创新创业大赛，有效激发企业创新动力和创新活力。</w:t>
      </w:r>
    </w:p>
    <w:p>
      <w:pPr>
        <w:keepNext w:val="0"/>
        <w:keepLines w:val="0"/>
        <w:pageBreakBefore w:val="0"/>
        <w:widowControl/>
        <w:kinsoku/>
        <w:wordWrap/>
        <w:overflowPunct w:val="0"/>
        <w:topLinePunct w:val="0"/>
        <w:autoSpaceDE w:val="0"/>
        <w:autoSpaceDN w:val="0"/>
        <w:bidi w:val="0"/>
        <w:adjustRightInd w:val="0"/>
        <w:snapToGrid/>
        <w:spacing w:beforeAutospacing="0" w:afterAutospacing="0" w:line="560" w:lineRule="exact"/>
        <w:ind w:firstLine="640" w:firstLineChars="200"/>
        <w:textAlignment w:val="baseline"/>
        <w:outlineLvl w:val="2"/>
        <w:rPr>
          <w:rFonts w:hint="default" w:ascii="Times New Roman" w:hAnsi="Times New Roman" w:eastAsia="仿宋_GB2312" w:cs="Times New Roman"/>
          <w:b/>
          <w:bCs w:val="0"/>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2.</w:t>
      </w:r>
      <w:r>
        <w:rPr>
          <w:rFonts w:hint="default" w:ascii="Times New Roman" w:hAnsi="Times New Roman" w:eastAsia="仿宋_GB2312" w:cs="Times New Roman"/>
          <w:b/>
          <w:bCs w:val="0"/>
          <w:color w:val="auto"/>
          <w:kern w:val="0"/>
          <w:sz w:val="32"/>
          <w:szCs w:val="32"/>
          <w:highlight w:val="none"/>
          <w:lang w:val="en-US" w:eastAsia="zh-CN" w:bidi="ar"/>
        </w:rPr>
        <w:t>年度绩效目标</w:t>
      </w:r>
    </w:p>
    <w:p>
      <w:pPr>
        <w:pStyle w:val="11"/>
        <w:rPr>
          <w:rFonts w:hint="default"/>
          <w:sz w:val="28"/>
          <w:szCs w:val="28"/>
          <w:lang w:val="en-US" w:eastAsia="zh-CN"/>
        </w:rPr>
      </w:pPr>
      <w:bookmarkStart w:id="11" w:name="_Toc21697"/>
      <w:r>
        <w:rPr>
          <w:rFonts w:hint="eastAsia" w:ascii="Times New Roman" w:hAnsi="Times New Roman" w:eastAsia="仿宋_GB2312" w:cs="Times New Roman"/>
          <w:b w:val="0"/>
          <w:bCs w:val="0"/>
          <w:i w:val="0"/>
          <w:iCs w:val="0"/>
          <w:caps w:val="0"/>
          <w:color w:val="000000"/>
          <w:spacing w:val="0"/>
          <w:kern w:val="0"/>
          <w:sz w:val="28"/>
          <w:szCs w:val="28"/>
          <w:highlight w:val="none"/>
          <w:lang w:val="en-US" w:eastAsia="zh-CN" w:bidi="ar"/>
        </w:rPr>
        <w:t>2024</w:t>
      </w:r>
      <w:r>
        <w:rPr>
          <w:rFonts w:hint="eastAsia" w:ascii="Times New Roman" w:hAnsi="Times New Roman" w:eastAsia="仿宋_GB2312" w:cs="Times New Roman"/>
          <w:b/>
          <w:bCs w:val="0"/>
          <w:color w:val="auto"/>
          <w:kern w:val="0"/>
          <w:sz w:val="28"/>
          <w:szCs w:val="28"/>
          <w:highlight w:val="none"/>
          <w:lang w:val="en-US" w:eastAsia="zh-CN" w:bidi="ar"/>
        </w:rPr>
        <w:t>年科技创新驱动发展资金项目绩效目标申报表</w:t>
      </w:r>
      <w:bookmarkEnd w:id="11"/>
    </w:p>
    <w:tbl>
      <w:tblPr>
        <w:tblStyle w:val="12"/>
        <w:tblW w:w="493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5"/>
        <w:gridCol w:w="2688"/>
        <w:gridCol w:w="3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14" w:type="pct"/>
            <w:tcBorders>
              <w:top w:val="single" w:color="000000" w:sz="4" w:space="0"/>
              <w:left w:val="single" w:color="000000" w:sz="4" w:space="0"/>
              <w:bottom w:val="nil"/>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一级指标</w:t>
            </w:r>
          </w:p>
        </w:tc>
        <w:tc>
          <w:tcPr>
            <w:tcW w:w="1597" w:type="pct"/>
            <w:tcBorders>
              <w:top w:val="single" w:color="000000" w:sz="4" w:space="0"/>
              <w:left w:val="single" w:color="000000" w:sz="4" w:space="0"/>
              <w:bottom w:val="nil"/>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二级指标</w:t>
            </w:r>
          </w:p>
        </w:tc>
        <w:tc>
          <w:tcPr>
            <w:tcW w:w="2288" w:type="pct"/>
            <w:tcBorders>
              <w:top w:val="single" w:color="000000" w:sz="4" w:space="0"/>
              <w:left w:val="single" w:color="000000" w:sz="4" w:space="0"/>
              <w:bottom w:val="nil"/>
              <w:right w:val="single" w:color="000000" w:sz="4" w:space="0"/>
            </w:tcBorders>
            <w:shd w:val="clear" w:color="auto" w:fill="AEAAAA" w:themeFill="background2" w:themeFillShade="BF"/>
            <w:vAlign w:val="center"/>
          </w:tcPr>
          <w:p>
            <w:pPr>
              <w:keepNext w:val="0"/>
              <w:keepLines w:val="0"/>
              <w:widowControl/>
              <w:suppressLineNumbers w:val="0"/>
              <w:jc w:val="center"/>
              <w:textAlignment w:val="center"/>
              <w:rPr>
                <w:rFonts w:hint="eastAsia"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三级指标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产出指标</w:t>
            </w:r>
          </w:p>
        </w:tc>
        <w:tc>
          <w:tcPr>
            <w:tcW w:w="1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数量指标</w:t>
            </w:r>
          </w:p>
        </w:tc>
        <w:tc>
          <w:tcPr>
            <w:tcW w:w="2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开展创新创业大赛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color w:val="auto"/>
                <w:kern w:val="0"/>
                <w:sz w:val="22"/>
                <w:szCs w:val="22"/>
                <w:highlight w:val="none"/>
                <w:lang w:val="en-US" w:eastAsia="zh-CN" w:bidi="ar"/>
              </w:rPr>
            </w:pPr>
          </w:p>
        </w:tc>
        <w:tc>
          <w:tcPr>
            <w:tcW w:w="1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color w:val="auto"/>
                <w:kern w:val="0"/>
                <w:sz w:val="22"/>
                <w:szCs w:val="22"/>
                <w:highlight w:val="none"/>
                <w:lang w:val="en-US" w:eastAsia="zh-CN" w:bidi="ar"/>
              </w:rPr>
            </w:pPr>
          </w:p>
        </w:tc>
        <w:tc>
          <w:tcPr>
            <w:tcW w:w="2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支持市本级科技计划项目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color w:val="auto"/>
                <w:kern w:val="0"/>
                <w:sz w:val="22"/>
                <w:szCs w:val="22"/>
                <w:highlight w:val="none"/>
                <w:lang w:val="en-US" w:eastAsia="zh-CN" w:bidi="ar"/>
              </w:rPr>
            </w:pPr>
          </w:p>
        </w:tc>
        <w:tc>
          <w:tcPr>
            <w:tcW w:w="1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color w:val="auto"/>
                <w:kern w:val="0"/>
                <w:sz w:val="22"/>
                <w:szCs w:val="22"/>
                <w:highlight w:val="none"/>
                <w:lang w:val="en-US" w:eastAsia="zh-CN" w:bidi="ar"/>
              </w:rPr>
            </w:pPr>
          </w:p>
        </w:tc>
        <w:tc>
          <w:tcPr>
            <w:tcW w:w="2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申报科技型中小企业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color w:val="auto"/>
                <w:kern w:val="0"/>
                <w:sz w:val="22"/>
                <w:szCs w:val="22"/>
                <w:highlight w:val="none"/>
                <w:lang w:val="en-US" w:eastAsia="zh-CN" w:bidi="ar"/>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质量指标</w:t>
            </w:r>
          </w:p>
        </w:tc>
        <w:tc>
          <w:tcPr>
            <w:tcW w:w="2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科技型中小企业申报通过率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color w:val="auto"/>
                <w:kern w:val="0"/>
                <w:sz w:val="22"/>
                <w:szCs w:val="22"/>
                <w:highlight w:val="none"/>
                <w:lang w:val="en-US" w:eastAsia="zh-CN" w:bidi="ar"/>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时效指标</w:t>
            </w:r>
          </w:p>
        </w:tc>
        <w:tc>
          <w:tcPr>
            <w:tcW w:w="2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创新创业大赛开展及时率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成本指标</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经济成本指标</w:t>
            </w:r>
          </w:p>
        </w:tc>
        <w:tc>
          <w:tcPr>
            <w:tcW w:w="2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2024年市本级科技计划项目支持资金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效益指标</w:t>
            </w:r>
          </w:p>
        </w:tc>
        <w:tc>
          <w:tcPr>
            <w:tcW w:w="1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社会效益指标</w:t>
            </w:r>
          </w:p>
        </w:tc>
        <w:tc>
          <w:tcPr>
            <w:tcW w:w="2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Times New Roman"/>
                <w:b w:val="0"/>
                <w:bCs/>
                <w:color w:val="auto"/>
                <w:kern w:val="0"/>
                <w:sz w:val="22"/>
                <w:szCs w:val="22"/>
                <w:highlight w:val="none"/>
                <w:lang w:val="en-US" w:eastAsia="zh-CN" w:bidi="ar"/>
              </w:rPr>
            </w:pPr>
            <w:r>
              <w:rPr>
                <w:rFonts w:hint="eastAsia" w:ascii="Times New Roman" w:hAnsi="Times New Roman" w:eastAsia="仿宋_GB2312" w:cs="Times New Roman"/>
                <w:b w:val="0"/>
                <w:bCs/>
                <w:color w:val="auto"/>
                <w:kern w:val="0"/>
                <w:sz w:val="22"/>
                <w:szCs w:val="22"/>
                <w:highlight w:val="none"/>
                <w:lang w:val="en-US" w:eastAsia="zh-CN" w:bidi="ar"/>
              </w:rPr>
              <w:t>提升企业创新活力</w:t>
            </w:r>
          </w:p>
        </w:tc>
      </w:tr>
    </w:tbl>
    <w:p>
      <w:pPr>
        <w:pStyle w:val="2"/>
        <w:keepNext w:val="0"/>
        <w:keepLines w:val="0"/>
        <w:pageBreakBefore w:val="0"/>
        <w:widowControl/>
        <w:numPr>
          <w:ilvl w:val="0"/>
          <w:numId w:val="0"/>
        </w:numPr>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二、绩效评价情况</w:t>
      </w:r>
    </w:p>
    <w:p>
      <w:pPr>
        <w:pStyle w:val="2"/>
        <w:keepNext w:val="0"/>
        <w:keepLines w:val="0"/>
        <w:pageBreakBefore w:val="0"/>
        <w:widowControl/>
        <w:numPr>
          <w:ilvl w:val="0"/>
          <w:numId w:val="0"/>
        </w:numPr>
        <w:kinsoku/>
        <w:wordWrap/>
        <w:overflowPunct/>
        <w:topLinePunct/>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（一）评价结论</w:t>
      </w:r>
    </w:p>
    <w:p>
      <w:pPr>
        <w:pStyle w:val="2"/>
        <w:keepNext w:val="0"/>
        <w:keepLines w:val="0"/>
        <w:pageBreakBefore w:val="0"/>
        <w:widowControl/>
        <w:numPr>
          <w:ilvl w:val="0"/>
          <w:numId w:val="0"/>
        </w:numPr>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bookmarkStart w:id="12" w:name="_Toc9658"/>
      <w:r>
        <w:rPr>
          <w:rFonts w:hint="eastAsia" w:ascii="Times New Roman" w:hAnsi="Times New Roman" w:eastAsia="仿宋_GB2312" w:cs="Times New Roman"/>
          <w:b w:val="0"/>
          <w:bCs w:val="0"/>
          <w:i w:val="0"/>
          <w:iCs w:val="0"/>
          <w:caps w:val="0"/>
          <w:color w:val="000000"/>
          <w:spacing w:val="0"/>
          <w:kern w:val="0"/>
          <w:sz w:val="32"/>
          <w:szCs w:val="32"/>
          <w:highlight w:val="none"/>
          <w:lang w:val="en-US" w:eastAsia="zh-CN" w:bidi="ar"/>
        </w:rPr>
        <w:t>运用由评价组研发并通过预算单位确认的评价指标体系和评分标准，通过项目实施单位提供的基础数据及相关文件信息资料，评价组对2024年科技创新驱动发展资金项目进行了独立客观的评价，最终评分结果为95.25分，评价等级为“优”。</w:t>
      </w:r>
      <w:bookmarkEnd w:id="12"/>
    </w:p>
    <w:p>
      <w:pPr>
        <w:pStyle w:val="2"/>
        <w:keepNext w:val="0"/>
        <w:keepLines w:val="0"/>
        <w:pageBreakBefore w:val="0"/>
        <w:widowControl/>
        <w:numPr>
          <w:ilvl w:val="0"/>
          <w:numId w:val="0"/>
        </w:numPr>
        <w:kinsoku/>
        <w:wordWrap/>
        <w:overflowPunct/>
        <w:topLinePunct/>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（二）预算执行情况</w:t>
      </w:r>
    </w:p>
    <w:p>
      <w:pPr>
        <w:keepNext w:val="0"/>
        <w:keepLines w:val="0"/>
        <w:pageBreakBefore w:val="0"/>
        <w:widowControl/>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lang w:val="en-US" w:eastAsia="zh-CN" w:bidi="ar"/>
        </w:rPr>
      </w:pPr>
      <w:r>
        <w:rPr>
          <w:rFonts w:hint="eastAsia" w:ascii="Times New Roman" w:hAnsi="Times New Roman" w:eastAsia="仿宋_GB2312" w:cs="Times New Roman"/>
          <w:b w:val="0"/>
          <w:bCs w:val="0"/>
          <w:i w:val="0"/>
          <w:iCs w:val="0"/>
          <w:caps w:val="0"/>
          <w:color w:val="000000"/>
          <w:spacing w:val="0"/>
          <w:kern w:val="0"/>
          <w:sz w:val="32"/>
          <w:szCs w:val="32"/>
          <w:highlight w:val="none"/>
          <w:lang w:val="en-US" w:eastAsia="zh-CN" w:bidi="ar"/>
        </w:rPr>
        <w:t>项目资金来源于财政拨款。截至2024年12月31日资金执行率为99.99%。主要用于滚动支持市本级11个市本级科技计划项目的实施、举办创新创业大赛、制作科技宣传片以及拨付已立项的2024年科技计划项目、举办东疆片区科</w:t>
      </w:r>
      <w:bookmarkStart w:id="58" w:name="_GoBack"/>
      <w:bookmarkEnd w:id="58"/>
      <w:r>
        <w:rPr>
          <w:rFonts w:hint="eastAsia" w:ascii="Times New Roman" w:hAnsi="Times New Roman" w:eastAsia="仿宋_GB2312" w:cs="Times New Roman"/>
          <w:b w:val="0"/>
          <w:bCs w:val="0"/>
          <w:i w:val="0"/>
          <w:iCs w:val="0"/>
          <w:caps w:val="0"/>
          <w:color w:val="000000"/>
          <w:spacing w:val="0"/>
          <w:kern w:val="0"/>
          <w:sz w:val="32"/>
          <w:szCs w:val="32"/>
          <w:highlight w:val="none"/>
          <w:lang w:val="en-US" w:eastAsia="zh-CN" w:bidi="ar"/>
        </w:rPr>
        <w:t>技特派员培训班1期，对166个项目进行研发费用加计扣除鉴定，制作宣传页等。</w:t>
      </w:r>
    </w:p>
    <w:p>
      <w:pPr>
        <w:pStyle w:val="2"/>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（三）项目绩效情况</w:t>
      </w:r>
    </w:p>
    <w:p>
      <w:pPr>
        <w:pStyle w:val="4"/>
        <w:keepNext w:val="0"/>
        <w:keepLines w:val="0"/>
        <w:pageBreakBefore w:val="0"/>
        <w:widowControl w:val="0"/>
        <w:kinsoku/>
        <w:wordWrap/>
        <w:overflowPunct/>
        <w:topLinePunct/>
        <w:autoSpaceDE/>
        <w:autoSpaceDN/>
        <w:bidi w:val="0"/>
        <w:adjustRightInd w:val="0"/>
        <w:snapToGrid w:val="0"/>
        <w:spacing w:line="560" w:lineRule="exact"/>
        <w:ind w:firstLine="664" w:firstLineChars="200"/>
        <w:jc w:val="both"/>
        <w:textAlignment w:val="baseline"/>
        <w:rPr>
          <w:rFonts w:hint="eastAsia" w:ascii="Times New Roman" w:hAnsi="Times New Roman"/>
          <w:spacing w:val="6"/>
          <w:lang w:eastAsia="zh-CN"/>
        </w:rPr>
      </w:pPr>
      <w:r>
        <w:rPr>
          <w:rFonts w:hint="eastAsia" w:ascii="Times New Roman" w:hAnsi="Times New Roman"/>
          <w:spacing w:val="6"/>
          <w:lang w:eastAsia="zh-CN"/>
        </w:rPr>
        <w:t>吐鲁番市科技局开展科技创新驱动发展项目紧紧围绕社会稳定和长治久安总目标，加快推进创新型吐鲁番建设，不断深化科技体制改革，加速推进科技创新和成果转化，科技对全市经济社会发展的支撑引领作用日益增强，为加速“五化”同步发展，实现资源开发可持续、生态环境可持续提供了有力支撑。</w:t>
      </w:r>
    </w:p>
    <w:p>
      <w:pPr>
        <w:pStyle w:val="17"/>
        <w:keepNext w:val="0"/>
        <w:keepLines w:val="0"/>
        <w:pageBreakBefore w:val="0"/>
        <w:widowControl w:val="0"/>
        <w:shd w:val="clear" w:color="auto" w:fill="auto"/>
        <w:kinsoku/>
        <w:wordWrap/>
        <w:overflowPunct/>
        <w:topLinePunct/>
        <w:autoSpaceDE/>
        <w:autoSpaceDN/>
        <w:bidi w:val="0"/>
        <w:adjustRightInd/>
        <w:snapToGrid/>
        <w:spacing w:before="0" w:after="0" w:line="560" w:lineRule="exact"/>
        <w:ind w:left="0" w:right="0" w:firstLine="640" w:firstLineChars="200"/>
        <w:jc w:val="both"/>
        <w:textAlignment w:val="auto"/>
        <w:rPr>
          <w:rFonts w:hint="default" w:ascii="Times New Roman" w:hAnsi="Times New Roman" w:eastAsia="黑体" w:cs="Times New Roman"/>
          <w:color w:val="auto"/>
          <w:kern w:val="0"/>
          <w:sz w:val="32"/>
          <w:szCs w:val="32"/>
          <w:highlight w:val="none"/>
          <w:lang w:val="en-US" w:eastAsia="zh-CN" w:bidi="en-US"/>
        </w:rPr>
      </w:pPr>
      <w:r>
        <w:rPr>
          <w:rFonts w:hint="default" w:ascii="Times New Roman" w:hAnsi="Times New Roman" w:eastAsia="黑体" w:cs="Times New Roman"/>
          <w:color w:val="auto"/>
          <w:kern w:val="0"/>
          <w:sz w:val="32"/>
          <w:szCs w:val="32"/>
          <w:highlight w:val="none"/>
          <w:lang w:val="en-US" w:eastAsia="zh-CN" w:bidi="en-US"/>
        </w:rPr>
        <w:t>三、经验、问题和建议</w:t>
      </w:r>
    </w:p>
    <w:p>
      <w:pPr>
        <w:pStyle w:val="17"/>
        <w:keepNext w:val="0"/>
        <w:keepLines w:val="0"/>
        <w:pageBreakBefore w:val="0"/>
        <w:widowControl w:val="0"/>
        <w:shd w:val="clear" w:color="auto" w:fill="auto"/>
        <w:kinsoku/>
        <w:wordWrap/>
        <w:overflowPunct/>
        <w:topLinePunct/>
        <w:autoSpaceDE/>
        <w:autoSpaceDN/>
        <w:bidi w:val="0"/>
        <w:adjustRightInd/>
        <w:snapToGrid/>
        <w:spacing w:before="0" w:after="0" w:line="560" w:lineRule="exact"/>
        <w:ind w:left="0" w:right="0" w:firstLine="643" w:firstLineChars="200"/>
        <w:jc w:val="both"/>
        <w:textAlignment w:val="auto"/>
        <w:rPr>
          <w:rFonts w:hint="default" w:ascii="Times New Roman" w:hAnsi="Times New Roman" w:eastAsia="楷体" w:cs="Times New Roman"/>
          <w:b/>
          <w:bCs/>
          <w:color w:val="auto"/>
          <w:kern w:val="0"/>
          <w:sz w:val="32"/>
          <w:szCs w:val="32"/>
          <w:highlight w:val="none"/>
          <w:lang w:val="en-US" w:eastAsia="zh-CN" w:bidi="en-US"/>
        </w:rPr>
      </w:pPr>
      <w:r>
        <w:rPr>
          <w:rFonts w:hint="default" w:ascii="Times New Roman" w:hAnsi="Times New Roman" w:eastAsia="楷体" w:cs="Times New Roman"/>
          <w:b/>
          <w:bCs/>
          <w:color w:val="auto"/>
          <w:kern w:val="0"/>
          <w:sz w:val="32"/>
          <w:szCs w:val="32"/>
          <w:highlight w:val="none"/>
          <w:lang w:val="en-US" w:eastAsia="zh-CN" w:bidi="en-US"/>
        </w:rPr>
        <w:t>（一）主要经验及做法</w:t>
      </w:r>
    </w:p>
    <w:p>
      <w:pPr>
        <w:pStyle w:val="11"/>
        <w:keepNext w:val="0"/>
        <w:keepLines w:val="0"/>
        <w:pageBreakBefore w:val="0"/>
        <w:widowControl w:val="0"/>
        <w:kinsoku/>
        <w:wordWrap w:val="0"/>
        <w:overflowPunct w:val="0"/>
        <w:topLinePunct w:val="0"/>
        <w:autoSpaceDE w:val="0"/>
        <w:autoSpaceDN w:val="0"/>
        <w:bidi w:val="0"/>
        <w:adjustRightInd/>
        <w:snapToGrid/>
        <w:spacing w:before="0" w:after="0" w:line="560" w:lineRule="exact"/>
        <w:ind w:firstLine="667" w:firstLineChars="200"/>
        <w:jc w:val="both"/>
        <w:textAlignment w:val="auto"/>
        <w:rPr>
          <w:rFonts w:hint="default" w:ascii="Times New Roman" w:hAnsi="Times New Roman" w:eastAsia="仿宋_GB2312" w:cs="Times New Roman"/>
          <w:b w:val="0"/>
          <w:bCs w:val="0"/>
          <w:spacing w:val="6"/>
          <w:kern w:val="0"/>
          <w:sz w:val="32"/>
          <w:szCs w:val="20"/>
          <w:lang w:val="en-US" w:eastAsia="zh-CN" w:bidi="ar"/>
        </w:rPr>
      </w:pPr>
      <w:bookmarkStart w:id="13" w:name="_Toc13135"/>
      <w:bookmarkStart w:id="14" w:name="_Toc28348"/>
      <w:bookmarkStart w:id="15" w:name="_Toc29006"/>
      <w:bookmarkStart w:id="16" w:name="_Toc26269"/>
      <w:bookmarkStart w:id="17" w:name="_Toc31787"/>
      <w:bookmarkStart w:id="18" w:name="_Toc19077"/>
      <w:r>
        <w:rPr>
          <w:rFonts w:hint="eastAsia" w:ascii="Times New Roman" w:hAnsi="Times New Roman" w:eastAsia="仿宋_GB2312" w:cs="Times New Roman"/>
          <w:b/>
          <w:bCs/>
          <w:spacing w:val="6"/>
          <w:kern w:val="0"/>
          <w:sz w:val="32"/>
          <w:szCs w:val="20"/>
          <w:lang w:val="en-US" w:eastAsia="zh-CN" w:bidi="ar"/>
        </w:rPr>
        <w:t>一是</w:t>
      </w:r>
      <w:r>
        <w:rPr>
          <w:rFonts w:hint="eastAsia" w:ascii="Times New Roman" w:hAnsi="Times New Roman" w:eastAsia="仿宋_GB2312" w:cs="Times New Roman"/>
          <w:b w:val="0"/>
          <w:bCs w:val="0"/>
          <w:spacing w:val="6"/>
          <w:kern w:val="0"/>
          <w:sz w:val="32"/>
          <w:szCs w:val="20"/>
          <w:lang w:val="en-US" w:eastAsia="zh-CN" w:bidi="ar"/>
        </w:rPr>
        <w:t>为实施好吐鲁番市本级科技计划项目，推动创新链产业链深度融合，吐鲁番市科技局组织开展了市本级科技计划项目申报，</w:t>
      </w:r>
      <w:bookmarkEnd w:id="13"/>
      <w:bookmarkEnd w:id="14"/>
      <w:bookmarkEnd w:id="15"/>
      <w:bookmarkStart w:id="19" w:name="_Toc16094"/>
      <w:bookmarkStart w:id="20" w:name="_Toc7204"/>
      <w:bookmarkStart w:id="21" w:name="_Toc2019"/>
      <w:r>
        <w:rPr>
          <w:rFonts w:hint="eastAsia" w:ascii="Times New Roman" w:hAnsi="Times New Roman" w:eastAsia="仿宋_GB2312" w:cs="Times New Roman"/>
          <w:b w:val="0"/>
          <w:bCs w:val="0"/>
          <w:spacing w:val="6"/>
          <w:kern w:val="0"/>
          <w:sz w:val="32"/>
          <w:szCs w:val="20"/>
          <w:lang w:val="en-US" w:eastAsia="zh-CN" w:bidi="ar"/>
        </w:rPr>
        <w:t>相关部门领导高度重视，邀请相关行业专家组成了专家评审小组，评审过程严谨细致、科学规范，保证了项目申报过程中的公平公正。项目立项后，项目承担单位均按照合同计划要求，组织项目开发人员及时到位，对项目工作任务进行安排部署，根据项目建设内容明确组织领导、细化责任分工、制定管理制度、协调人员沟通，确保项目有序推进。</w:t>
      </w:r>
      <w:bookmarkEnd w:id="16"/>
      <w:bookmarkEnd w:id="17"/>
      <w:bookmarkEnd w:id="18"/>
    </w:p>
    <w:p>
      <w:pPr>
        <w:pStyle w:val="11"/>
        <w:keepNext w:val="0"/>
        <w:keepLines w:val="0"/>
        <w:pageBreakBefore w:val="0"/>
        <w:widowControl/>
        <w:kinsoku/>
        <w:wordWrap/>
        <w:overflowPunct/>
        <w:topLinePunct/>
        <w:autoSpaceDE/>
        <w:autoSpaceDN/>
        <w:bidi w:val="0"/>
        <w:adjustRightInd/>
        <w:snapToGrid/>
        <w:spacing w:before="0" w:after="0" w:line="560" w:lineRule="exact"/>
        <w:ind w:firstLine="667"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lang w:val="en-US" w:eastAsia="zh-CN" w:bidi="ar"/>
        </w:rPr>
      </w:pPr>
      <w:bookmarkStart w:id="22" w:name="_Toc543"/>
      <w:bookmarkStart w:id="23" w:name="_Toc875"/>
      <w:bookmarkStart w:id="24" w:name="_Toc5809"/>
      <w:r>
        <w:rPr>
          <w:rFonts w:hint="eastAsia" w:ascii="Times New Roman" w:hAnsi="Times New Roman" w:eastAsia="仿宋_GB2312" w:cs="Times New Roman"/>
          <w:b/>
          <w:bCs/>
          <w:spacing w:val="6"/>
          <w:kern w:val="0"/>
          <w:sz w:val="32"/>
          <w:szCs w:val="20"/>
          <w:lang w:val="en-US" w:eastAsia="zh-CN" w:bidi="ar"/>
        </w:rPr>
        <w:t>二是</w:t>
      </w:r>
      <w:r>
        <w:rPr>
          <w:rFonts w:hint="eastAsia" w:ascii="Times New Roman" w:hAnsi="Times New Roman" w:eastAsia="仿宋_GB2312" w:cs="Times New Roman"/>
          <w:b w:val="0"/>
          <w:bCs w:val="0"/>
          <w:i w:val="0"/>
          <w:iCs w:val="0"/>
          <w:caps w:val="0"/>
          <w:color w:val="000000"/>
          <w:spacing w:val="0"/>
          <w:kern w:val="0"/>
          <w:sz w:val="32"/>
          <w:szCs w:val="32"/>
          <w:highlight w:val="none"/>
          <w:lang w:val="en-US" w:eastAsia="zh-CN" w:bidi="ar"/>
        </w:rPr>
        <w:t>举办自治区第十一届创新创业大赛（吐鲁番赛区）暨吐鲁番市第八届创新创业大赛</w:t>
      </w:r>
      <w:bookmarkEnd w:id="19"/>
      <w:bookmarkEnd w:id="20"/>
      <w:bookmarkEnd w:id="21"/>
      <w:r>
        <w:rPr>
          <w:rFonts w:hint="eastAsia" w:ascii="Times New Roman" w:hAnsi="Times New Roman" w:eastAsia="仿宋_GB2312" w:cs="Times New Roman"/>
          <w:b w:val="0"/>
          <w:bCs w:val="0"/>
          <w:i w:val="0"/>
          <w:iCs w:val="0"/>
          <w:caps w:val="0"/>
          <w:color w:val="000000"/>
          <w:spacing w:val="0"/>
          <w:kern w:val="0"/>
          <w:sz w:val="32"/>
          <w:szCs w:val="32"/>
          <w:highlight w:val="none"/>
          <w:lang w:val="en-US" w:eastAsia="zh-CN" w:bidi="ar"/>
        </w:rPr>
        <w:t>，对在大赛中获得一、二、三等奖和优秀奖的参赛项目，分别给予不低于10万元、5万元、3万元和1万元的奖励支持。通过大赛挖掘培育具有创新性、颠覆性的新企业新业态，为创新创业者提供展示平台和资金支持，激发全社会创新活力和创造潜力营造“大众创业、万众创新”的良好氛围，促进科技成果转化和创业项目落地。</w:t>
      </w:r>
      <w:bookmarkEnd w:id="22"/>
      <w:bookmarkEnd w:id="23"/>
      <w:bookmarkEnd w:id="24"/>
    </w:p>
    <w:p>
      <w:pPr>
        <w:pStyle w:val="11"/>
        <w:keepNext w:val="0"/>
        <w:keepLines w:val="0"/>
        <w:pageBreakBefore w:val="0"/>
        <w:widowControl/>
        <w:kinsoku/>
        <w:wordWrap/>
        <w:overflowPunct/>
        <w:topLinePunct/>
        <w:autoSpaceDE/>
        <w:autoSpaceDN/>
        <w:bidi w:val="0"/>
        <w:adjustRightInd/>
        <w:snapToGrid/>
        <w:spacing w:before="0" w:after="0" w:line="560" w:lineRule="exact"/>
        <w:ind w:firstLine="667"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en-US"/>
        </w:rPr>
      </w:pPr>
      <w:bookmarkStart w:id="25" w:name="_Toc17690"/>
      <w:bookmarkStart w:id="26" w:name="_Toc25012"/>
      <w:bookmarkStart w:id="27" w:name="_Toc1738"/>
      <w:bookmarkStart w:id="28" w:name="_Toc18820"/>
      <w:bookmarkStart w:id="29" w:name="_Toc17645"/>
      <w:bookmarkStart w:id="30" w:name="_Toc3948"/>
      <w:r>
        <w:rPr>
          <w:rFonts w:hint="eastAsia" w:ascii="Times New Roman" w:hAnsi="Times New Roman" w:eastAsia="仿宋_GB2312" w:cs="Times New Roman"/>
          <w:b/>
          <w:bCs/>
          <w:spacing w:val="6"/>
          <w:kern w:val="0"/>
          <w:sz w:val="32"/>
          <w:szCs w:val="20"/>
          <w:lang w:val="en-US" w:eastAsia="zh-CN" w:bidi="ar"/>
        </w:rPr>
        <w:t>三是</w:t>
      </w:r>
      <w:r>
        <w:rPr>
          <w:rFonts w:hint="eastAsia" w:ascii="Times New Roman" w:hAnsi="Times New Roman" w:eastAsia="仿宋_GB2312" w:cs="Times New Roman"/>
          <w:b w:val="0"/>
          <w:bCs w:val="0"/>
          <w:spacing w:val="6"/>
          <w:kern w:val="0"/>
          <w:sz w:val="32"/>
          <w:szCs w:val="20"/>
          <w:lang w:val="en-US" w:eastAsia="zh-CN" w:bidi="ar"/>
        </w:rPr>
        <w:t>落实强化科技创新主体建设，对认定成功的高新技术企业（非园区内）进行奖励，</w:t>
      </w:r>
      <w:r>
        <w:rPr>
          <w:rFonts w:hint="eastAsia" w:ascii="Times New Roman" w:hAnsi="Times New Roman" w:eastAsia="仿宋_GB2312" w:cs="Times New Roman"/>
          <w:b w:val="0"/>
          <w:bCs w:val="0"/>
          <w:i w:val="0"/>
          <w:iCs w:val="0"/>
          <w:caps w:val="0"/>
          <w:color w:val="000000"/>
          <w:spacing w:val="0"/>
          <w:kern w:val="0"/>
          <w:sz w:val="32"/>
          <w:szCs w:val="32"/>
          <w:highlight w:val="none"/>
          <w:lang w:val="en-US" w:eastAsia="zh-CN" w:bidi="ar"/>
        </w:rPr>
        <w:t>2024</w:t>
      </w:r>
      <w:r>
        <w:rPr>
          <w:rFonts w:hint="eastAsia" w:ascii="Times New Roman" w:hAnsi="Times New Roman" w:eastAsia="仿宋_GB2312" w:cs="Times New Roman"/>
          <w:b w:val="0"/>
          <w:bCs w:val="0"/>
          <w:spacing w:val="6"/>
          <w:kern w:val="0"/>
          <w:sz w:val="32"/>
          <w:szCs w:val="20"/>
          <w:lang w:val="en-US" w:eastAsia="zh-CN" w:bidi="ar"/>
        </w:rPr>
        <w:t>年奖励企业</w:t>
      </w:r>
      <w:r>
        <w:rPr>
          <w:rFonts w:hint="eastAsia" w:ascii="Times New Roman" w:hAnsi="Times New Roman" w:eastAsia="仿宋_GB2312" w:cs="Times New Roman"/>
          <w:b w:val="0"/>
          <w:bCs w:val="0"/>
          <w:i w:val="0"/>
          <w:iCs w:val="0"/>
          <w:caps w:val="0"/>
          <w:color w:val="000000"/>
          <w:spacing w:val="0"/>
          <w:kern w:val="0"/>
          <w:sz w:val="32"/>
          <w:szCs w:val="32"/>
          <w:highlight w:val="none"/>
          <w:lang w:val="en-US" w:eastAsia="zh-CN" w:bidi="ar"/>
        </w:rPr>
        <w:t>2</w:t>
      </w:r>
      <w:r>
        <w:rPr>
          <w:rFonts w:hint="eastAsia" w:ascii="Times New Roman" w:hAnsi="Times New Roman" w:eastAsia="仿宋_GB2312" w:cs="Times New Roman"/>
          <w:b w:val="0"/>
          <w:bCs w:val="0"/>
          <w:spacing w:val="6"/>
          <w:kern w:val="0"/>
          <w:sz w:val="32"/>
          <w:szCs w:val="20"/>
          <w:lang w:val="en-US" w:eastAsia="zh-CN" w:bidi="ar"/>
        </w:rPr>
        <w:t>家。培育高新技术企业，全市高新技术企业达到</w:t>
      </w:r>
      <w:r>
        <w:rPr>
          <w:rFonts w:hint="eastAsia" w:ascii="Times New Roman" w:hAnsi="Times New Roman" w:eastAsia="仿宋_GB2312" w:cs="Times New Roman"/>
          <w:b w:val="0"/>
          <w:bCs w:val="0"/>
          <w:i w:val="0"/>
          <w:iCs w:val="0"/>
          <w:caps w:val="0"/>
          <w:color w:val="000000"/>
          <w:spacing w:val="0"/>
          <w:kern w:val="0"/>
          <w:sz w:val="32"/>
          <w:szCs w:val="32"/>
          <w:highlight w:val="none"/>
          <w:lang w:val="en-US" w:eastAsia="zh-CN" w:bidi="ar"/>
        </w:rPr>
        <w:t>43</w:t>
      </w:r>
      <w:r>
        <w:rPr>
          <w:rFonts w:hint="eastAsia" w:ascii="Times New Roman" w:hAnsi="Times New Roman" w:eastAsia="仿宋_GB2312" w:cs="Times New Roman"/>
          <w:b w:val="0"/>
          <w:bCs w:val="0"/>
          <w:spacing w:val="6"/>
          <w:kern w:val="0"/>
          <w:sz w:val="32"/>
          <w:szCs w:val="20"/>
          <w:lang w:val="en-US" w:eastAsia="zh-CN" w:bidi="ar"/>
        </w:rPr>
        <w:t>家，科技型中小企业达到</w:t>
      </w:r>
      <w:r>
        <w:rPr>
          <w:rFonts w:hint="eastAsia" w:ascii="Times New Roman" w:hAnsi="Times New Roman" w:eastAsia="仿宋_GB2312" w:cs="Times New Roman"/>
          <w:b w:val="0"/>
          <w:bCs w:val="0"/>
          <w:i w:val="0"/>
          <w:iCs w:val="0"/>
          <w:caps w:val="0"/>
          <w:color w:val="000000"/>
          <w:spacing w:val="0"/>
          <w:kern w:val="0"/>
          <w:sz w:val="32"/>
          <w:szCs w:val="32"/>
          <w:highlight w:val="none"/>
          <w:lang w:val="en-US" w:eastAsia="zh-CN" w:bidi="ar"/>
        </w:rPr>
        <w:t>51</w:t>
      </w:r>
      <w:r>
        <w:rPr>
          <w:rFonts w:hint="eastAsia" w:ascii="Times New Roman" w:hAnsi="Times New Roman" w:eastAsia="仿宋_GB2312" w:cs="Times New Roman"/>
          <w:b w:val="0"/>
          <w:bCs w:val="0"/>
          <w:spacing w:val="6"/>
          <w:kern w:val="0"/>
          <w:sz w:val="32"/>
          <w:szCs w:val="20"/>
          <w:lang w:val="en-US" w:eastAsia="zh-CN" w:bidi="ar"/>
        </w:rPr>
        <w:t>家。</w:t>
      </w:r>
      <w:bookmarkEnd w:id="25"/>
      <w:bookmarkEnd w:id="26"/>
      <w:bookmarkEnd w:id="27"/>
      <w:bookmarkEnd w:id="28"/>
      <w:bookmarkEnd w:id="29"/>
      <w:bookmarkEnd w:id="30"/>
    </w:p>
    <w:p>
      <w:pPr>
        <w:pStyle w:val="17"/>
        <w:keepNext w:val="0"/>
        <w:keepLines w:val="0"/>
        <w:pageBreakBefore w:val="0"/>
        <w:widowControl w:val="0"/>
        <w:numPr>
          <w:ilvl w:val="0"/>
          <w:numId w:val="0"/>
        </w:numPr>
        <w:shd w:val="clear" w:color="auto" w:fill="auto"/>
        <w:kinsoku/>
        <w:wordWrap/>
        <w:overflowPunct/>
        <w:topLinePunct/>
        <w:autoSpaceDE/>
        <w:autoSpaceDN/>
        <w:bidi w:val="0"/>
        <w:adjustRightInd/>
        <w:snapToGrid/>
        <w:spacing w:before="0" w:after="0" w:line="560" w:lineRule="exact"/>
        <w:ind w:right="0" w:rightChars="0" w:firstLine="643" w:firstLineChars="200"/>
        <w:jc w:val="both"/>
        <w:textAlignment w:val="auto"/>
        <w:rPr>
          <w:rFonts w:hint="default" w:ascii="Times New Roman" w:hAnsi="Times New Roman" w:eastAsia="楷体" w:cs="Times New Roman"/>
          <w:b/>
          <w:bCs/>
          <w:color w:val="auto"/>
          <w:kern w:val="0"/>
          <w:sz w:val="32"/>
          <w:szCs w:val="32"/>
          <w:highlight w:val="none"/>
          <w:lang w:val="en-US" w:eastAsia="zh-CN" w:bidi="en-US"/>
        </w:rPr>
      </w:pPr>
      <w:r>
        <w:rPr>
          <w:rFonts w:hint="default" w:ascii="Times New Roman" w:hAnsi="Times New Roman" w:eastAsia="楷体" w:cs="Times New Roman"/>
          <w:b/>
          <w:bCs/>
          <w:color w:val="auto"/>
          <w:kern w:val="0"/>
          <w:sz w:val="32"/>
          <w:szCs w:val="32"/>
          <w:highlight w:val="none"/>
          <w:lang w:val="en-US" w:eastAsia="zh-CN" w:bidi="en-US"/>
        </w:rPr>
        <w:t>（二）存在问题与不足</w:t>
      </w:r>
    </w:p>
    <w:p>
      <w:pPr>
        <w:pStyle w:val="11"/>
        <w:keepNext w:val="0"/>
        <w:keepLines w:val="0"/>
        <w:pageBreakBefore w:val="0"/>
        <w:widowControl w:val="0"/>
        <w:kinsoku/>
        <w:wordWrap/>
        <w:overflowPunct/>
        <w:topLinePunct/>
        <w:autoSpaceDE/>
        <w:autoSpaceDN/>
        <w:bidi w:val="0"/>
        <w:adjustRightInd/>
        <w:snapToGrid/>
        <w:spacing w:before="0" w:after="0" w:line="560" w:lineRule="exact"/>
        <w:ind w:firstLine="667" w:firstLineChars="200"/>
        <w:jc w:val="both"/>
        <w:textAlignment w:val="auto"/>
        <w:rPr>
          <w:rFonts w:hint="eastAsia" w:ascii="Times New Roman" w:hAnsi="Times New Roman" w:eastAsia="仿宋_GB2312" w:cs="Times New Roman"/>
          <w:b w:val="0"/>
          <w:bCs w:val="0"/>
          <w:spacing w:val="6"/>
          <w:kern w:val="0"/>
          <w:sz w:val="32"/>
          <w:szCs w:val="20"/>
          <w:lang w:val="en-US" w:eastAsia="zh-CN" w:bidi="ar"/>
        </w:rPr>
      </w:pPr>
      <w:bookmarkStart w:id="31" w:name="_Toc9644"/>
      <w:bookmarkStart w:id="32" w:name="_Toc31923"/>
      <w:bookmarkStart w:id="33" w:name="_Toc10158"/>
      <w:bookmarkStart w:id="34" w:name="_Toc18804"/>
      <w:bookmarkStart w:id="35" w:name="_Toc15552"/>
      <w:bookmarkStart w:id="36" w:name="_Toc21456"/>
      <w:r>
        <w:rPr>
          <w:rFonts w:hint="eastAsia" w:ascii="Times New Roman" w:hAnsi="Times New Roman" w:eastAsia="仿宋_GB2312" w:cs="Times New Roman"/>
          <w:b/>
          <w:bCs/>
          <w:spacing w:val="6"/>
          <w:kern w:val="0"/>
          <w:sz w:val="32"/>
          <w:szCs w:val="20"/>
          <w:lang w:val="en-US" w:eastAsia="zh-CN" w:bidi="ar"/>
        </w:rPr>
        <w:t>一是创新源头不足。</w:t>
      </w:r>
      <w:r>
        <w:rPr>
          <w:rFonts w:hint="eastAsia" w:ascii="Times New Roman" w:hAnsi="Times New Roman" w:eastAsia="仿宋_GB2312" w:cs="Times New Roman"/>
          <w:b w:val="0"/>
          <w:bCs w:val="0"/>
          <w:spacing w:val="6"/>
          <w:kern w:val="0"/>
          <w:sz w:val="32"/>
          <w:szCs w:val="20"/>
          <w:lang w:val="en-US" w:eastAsia="zh-CN" w:bidi="ar"/>
        </w:rPr>
        <w:t>结合吐鲁番市实际，现阶段全市创新源头匮乏，科技创新主体数量较少，大型企业的数量较少，企业科技意识和创新观念淡薄，缺乏可持续发展的科技支撑，部分本级科技计划项目创新性不足、示范性有限、带动性较弱，受制于产业结构。</w:t>
      </w:r>
      <w:bookmarkEnd w:id="31"/>
      <w:bookmarkEnd w:id="32"/>
      <w:bookmarkEnd w:id="33"/>
      <w:bookmarkEnd w:id="34"/>
      <w:bookmarkEnd w:id="35"/>
      <w:bookmarkEnd w:id="36"/>
    </w:p>
    <w:p>
      <w:pPr>
        <w:pStyle w:val="11"/>
        <w:keepNext w:val="0"/>
        <w:keepLines w:val="0"/>
        <w:pageBreakBefore w:val="0"/>
        <w:widowControl w:val="0"/>
        <w:kinsoku/>
        <w:wordWrap/>
        <w:overflowPunct/>
        <w:topLinePunct/>
        <w:autoSpaceDE/>
        <w:autoSpaceDN/>
        <w:bidi w:val="0"/>
        <w:adjustRightInd/>
        <w:snapToGrid/>
        <w:spacing w:before="0" w:after="0" w:line="560" w:lineRule="exact"/>
        <w:ind w:firstLine="667" w:firstLineChars="200"/>
        <w:jc w:val="both"/>
        <w:textAlignment w:val="auto"/>
        <w:rPr>
          <w:rFonts w:hint="default" w:ascii="Times New Roman" w:hAnsi="Times New Roman" w:eastAsia="仿宋_GB2312" w:cs="Times New Roman"/>
          <w:b w:val="0"/>
          <w:bCs w:val="0"/>
          <w:spacing w:val="6"/>
          <w:kern w:val="0"/>
          <w:sz w:val="32"/>
          <w:szCs w:val="20"/>
          <w:u w:val="none"/>
          <w:shd w:val="clear" w:color="auto" w:fill="auto"/>
          <w:lang w:val="en-US" w:eastAsia="zh-CN" w:bidi="ar"/>
        </w:rPr>
      </w:pPr>
      <w:bookmarkStart w:id="37" w:name="_Toc6604"/>
      <w:bookmarkStart w:id="38" w:name="_Toc20927"/>
      <w:bookmarkStart w:id="39" w:name="_Toc23181"/>
      <w:bookmarkStart w:id="40" w:name="_Toc6631"/>
      <w:bookmarkStart w:id="41" w:name="_Toc860"/>
      <w:bookmarkStart w:id="42" w:name="_Toc27429"/>
      <w:r>
        <w:rPr>
          <w:rFonts w:hint="eastAsia" w:ascii="Times New Roman" w:hAnsi="Times New Roman" w:eastAsia="仿宋_GB2312" w:cs="Times New Roman"/>
          <w:b/>
          <w:bCs/>
          <w:spacing w:val="6"/>
          <w:kern w:val="0"/>
          <w:sz w:val="32"/>
          <w:szCs w:val="20"/>
          <w:lang w:val="en-US" w:eastAsia="zh-CN" w:bidi="ar"/>
        </w:rPr>
        <w:t>二是科技创新及产业技术人才面临严峻短缺问题。</w:t>
      </w:r>
      <w:bookmarkEnd w:id="37"/>
      <w:bookmarkEnd w:id="38"/>
      <w:bookmarkEnd w:id="39"/>
      <w:r>
        <w:rPr>
          <w:rFonts w:hint="eastAsia" w:ascii="Times New Roman" w:hAnsi="Times New Roman" w:eastAsia="仿宋_GB2312" w:cs="Times New Roman"/>
          <w:b w:val="0"/>
          <w:bCs w:val="0"/>
          <w:spacing w:val="6"/>
          <w:kern w:val="0"/>
          <w:sz w:val="32"/>
          <w:szCs w:val="20"/>
          <w:u w:val="none"/>
          <w:shd w:val="clear" w:color="auto" w:fill="auto"/>
          <w:lang w:val="en-US" w:eastAsia="zh-CN" w:bidi="ar"/>
        </w:rPr>
        <w:t>受地理环境、产业基础等因素影响，难以吸引到高水平的核心技术人才和科研领军人才。一方面，外部人才对吐鲁番的认知度较低，且由于自然环境和城市配套的差距，主动前来就业的意愿不强；另一方面，引才渠道较为单一，主要依赖传统的招聘会和政策性调动，缺乏与高校、科研机构、行业协会的深度合作，导致引才范围有限。尤其在新能源、新材料、智慧农业等新兴产业领域的技术人才严重不足，无法支撑资金项目在科技创新产业的布局和发展，现有的科技人才队伍的整体素质亟待提升。</w:t>
      </w:r>
      <w:bookmarkEnd w:id="40"/>
      <w:bookmarkEnd w:id="41"/>
      <w:bookmarkEnd w:id="42"/>
    </w:p>
    <w:p>
      <w:pPr>
        <w:pStyle w:val="3"/>
        <w:keepNext w:val="0"/>
        <w:keepLines w:val="0"/>
        <w:pageBreakBefore w:val="0"/>
        <w:kinsoku/>
        <w:wordWrap/>
        <w:overflowPunct/>
        <w:topLinePunct/>
        <w:autoSpaceDE/>
        <w:autoSpaceDN/>
        <w:bidi w:val="0"/>
        <w:spacing w:line="560" w:lineRule="exact"/>
        <w:ind w:firstLine="667" w:firstLineChars="200"/>
        <w:jc w:val="both"/>
        <w:rPr>
          <w:rFonts w:hint="eastAsia" w:ascii="Times New Roman" w:hAnsi="Times New Roman" w:eastAsia="仿宋_GB2312" w:cs="Times New Roman"/>
          <w:b w:val="0"/>
          <w:bCs w:val="0"/>
          <w:spacing w:val="6"/>
          <w:kern w:val="0"/>
          <w:sz w:val="32"/>
          <w:szCs w:val="20"/>
          <w:lang w:val="en-US" w:eastAsia="zh-CN" w:bidi="ar"/>
        </w:rPr>
      </w:pPr>
      <w:r>
        <w:rPr>
          <w:rFonts w:hint="eastAsia" w:ascii="Times New Roman" w:hAnsi="Times New Roman" w:eastAsia="仿宋_GB2312" w:cs="Times New Roman"/>
          <w:b/>
          <w:bCs/>
          <w:spacing w:val="6"/>
          <w:kern w:val="0"/>
          <w:sz w:val="32"/>
          <w:szCs w:val="20"/>
          <w:u w:val="none"/>
          <w:shd w:val="clear"/>
          <w:lang w:val="en-US" w:eastAsia="zh-CN" w:bidi="ar"/>
        </w:rPr>
        <w:t>三是科技项目资金使用存在突出问题。</w:t>
      </w:r>
      <w:r>
        <w:rPr>
          <w:rFonts w:hint="eastAsia" w:ascii="Times New Roman" w:hAnsi="Times New Roman" w:eastAsia="仿宋_GB2312" w:cs="Times New Roman"/>
          <w:b w:val="0"/>
          <w:bCs w:val="0"/>
          <w:spacing w:val="6"/>
          <w:kern w:val="0"/>
          <w:sz w:val="32"/>
          <w:szCs w:val="20"/>
          <w:u w:val="none"/>
          <w:shd w:val="clear" w:color="auto" w:fill="auto"/>
          <w:lang w:val="en-US" w:eastAsia="zh-CN" w:bidi="ar"/>
        </w:rPr>
        <w:t>市科技局在组织成果转化与科研诚信科及财务室人员开展市本级科技计划项目专项调研时发现，部分项目承担单位存在以下问题：项目资金长期无法使用、资金执行率偏低，相关资金监督管理机制有待完善；个别项目还处于前期研发阶段，尚未正式启动实施，产生的相关人员工资、差旅住宿等费用暂由承担单位的自筹资金支出；部分承担单位财务管理制度不健全，预算编制与执行脱节，未能形成有效的支出进度管控；此外，现有监管手段较为单一，对资金使用全过程的动态跟踪与风险预警能力不足。</w:t>
      </w:r>
    </w:p>
    <w:p>
      <w:pPr>
        <w:pStyle w:val="17"/>
        <w:keepNext w:val="0"/>
        <w:keepLines w:val="0"/>
        <w:pageBreakBefore w:val="0"/>
        <w:widowControl w:val="0"/>
        <w:numPr>
          <w:ilvl w:val="0"/>
          <w:numId w:val="0"/>
        </w:numPr>
        <w:shd w:val="clear" w:color="auto" w:fill="auto"/>
        <w:kinsoku/>
        <w:wordWrap/>
        <w:overflowPunct/>
        <w:topLinePunct/>
        <w:autoSpaceDE/>
        <w:autoSpaceDN/>
        <w:bidi w:val="0"/>
        <w:adjustRightInd/>
        <w:snapToGrid/>
        <w:spacing w:before="0" w:after="0" w:line="560" w:lineRule="exact"/>
        <w:ind w:right="0" w:rightChars="0" w:firstLine="643" w:firstLineChars="200"/>
        <w:jc w:val="both"/>
        <w:textAlignment w:val="auto"/>
        <w:rPr>
          <w:rFonts w:hint="default" w:ascii="Times New Roman" w:hAnsi="Times New Roman" w:eastAsia="楷体" w:cs="Times New Roman"/>
          <w:b/>
          <w:bCs/>
          <w:color w:val="auto"/>
          <w:kern w:val="0"/>
          <w:sz w:val="32"/>
          <w:szCs w:val="32"/>
          <w:highlight w:val="none"/>
          <w:lang w:val="en-US" w:eastAsia="zh-CN" w:bidi="en-US"/>
        </w:rPr>
      </w:pPr>
      <w:bookmarkStart w:id="43" w:name="_Toc30706"/>
      <w:bookmarkStart w:id="44" w:name="_Toc31738"/>
      <w:bookmarkStart w:id="45" w:name="_Toc31300"/>
      <w:r>
        <w:rPr>
          <w:rFonts w:hint="default" w:ascii="Times New Roman" w:hAnsi="Times New Roman" w:eastAsia="楷体" w:cs="Times New Roman"/>
          <w:b/>
          <w:bCs/>
          <w:color w:val="auto"/>
          <w:kern w:val="0"/>
          <w:sz w:val="32"/>
          <w:szCs w:val="32"/>
          <w:highlight w:val="none"/>
          <w:lang w:val="en-US" w:eastAsia="zh-CN" w:bidi="en-US"/>
        </w:rPr>
        <w:t>（三）建议和改进措施</w:t>
      </w:r>
      <w:bookmarkEnd w:id="43"/>
      <w:bookmarkEnd w:id="44"/>
      <w:bookmarkEnd w:id="45"/>
    </w:p>
    <w:p>
      <w:pPr>
        <w:pStyle w:val="3"/>
        <w:keepNext w:val="0"/>
        <w:keepLines w:val="0"/>
        <w:pageBreakBefore w:val="0"/>
        <w:widowControl w:val="0"/>
        <w:kinsoku/>
        <w:wordWrap/>
        <w:overflowPunct/>
        <w:topLinePunct/>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pacing w:val="6"/>
          <w:kern w:val="0"/>
          <w:sz w:val="32"/>
          <w:szCs w:val="20"/>
          <w:lang w:val="en-US" w:eastAsia="zh-CN" w:bidi="ar"/>
        </w:rPr>
      </w:pPr>
      <w:bookmarkStart w:id="46" w:name="_Toc2367"/>
      <w:bookmarkStart w:id="47" w:name="_Toc14053"/>
      <w:bookmarkStart w:id="48" w:name="_Toc15696"/>
      <w:r>
        <w:rPr>
          <w:rFonts w:hint="eastAsia" w:ascii="Times New Roman" w:hAnsi="Times New Roman" w:eastAsia="仿宋_GB2312" w:cs="Times New Roman"/>
          <w:b/>
          <w:bCs/>
          <w:i w:val="0"/>
          <w:iCs w:val="0"/>
          <w:caps w:val="0"/>
          <w:color w:val="000000"/>
          <w:spacing w:val="0"/>
          <w:kern w:val="0"/>
          <w:sz w:val="32"/>
          <w:szCs w:val="32"/>
          <w:highlight w:val="none"/>
          <w:u w:val="none"/>
          <w:shd w:val="clear" w:color="auto" w:fill="auto"/>
          <w:lang w:val="en-US" w:eastAsia="zh-CN" w:bidi="ar"/>
        </w:rPr>
        <w:t>一是</w:t>
      </w:r>
      <w:r>
        <w:rPr>
          <w:rFonts w:hint="eastAsia" w:ascii="Times New Roman" w:hAnsi="Times New Roman" w:eastAsia="仿宋_GB2312" w:cs="Times New Roman"/>
          <w:b w:val="0"/>
          <w:bCs w:val="0"/>
          <w:spacing w:val="6"/>
          <w:kern w:val="0"/>
          <w:sz w:val="32"/>
          <w:szCs w:val="20"/>
          <w:lang w:val="en-US" w:eastAsia="zh-CN" w:bidi="ar"/>
        </w:rPr>
        <w:t>靶向培育本土企业，建立“创新型企业培育库”，分类筛选有潜力的中小微科技企业，根据企业规模和产业领域提供定制化培育方案，对入库企业安排相应的“创新启动资金”，用于研发团队组建、技术方案论证。围绕本地主导产业制定“产业链创新龙头企业招商目录”，重点引进具有研发实力的高新技术企业落户，扩大创新源头基数；由相关部门牵头，组织企业管理者前往科技发达省份的高新技术产业园区进行考察，推动企业管理者转变“重生产、轻研发”的观念，强化企业创新意识。组织创建各类科技创新平台，开展创新创业活动，定期举办创新创业大赛，有效激发企业创新动力和创新活力</w:t>
      </w:r>
      <w:bookmarkEnd w:id="46"/>
      <w:bookmarkEnd w:id="47"/>
      <w:bookmarkEnd w:id="48"/>
      <w:r>
        <w:rPr>
          <w:rFonts w:hint="eastAsia" w:ascii="Times New Roman" w:hAnsi="Times New Roman" w:eastAsia="仿宋_GB2312" w:cs="Times New Roman"/>
          <w:b w:val="0"/>
          <w:bCs w:val="0"/>
          <w:spacing w:val="6"/>
          <w:kern w:val="0"/>
          <w:sz w:val="32"/>
          <w:szCs w:val="20"/>
          <w:lang w:val="en-US" w:eastAsia="zh-CN" w:bidi="ar"/>
        </w:rPr>
        <w:t>；提高项目准入门槛，明确“原创性、引领性”申报标准，制定“项目+产业链”捆绑机制确保技术成果能快速转化为产品，强化示范带动作用。</w:t>
      </w:r>
    </w:p>
    <w:p>
      <w:pPr>
        <w:pStyle w:val="11"/>
        <w:keepNext w:val="0"/>
        <w:keepLines w:val="0"/>
        <w:pageBreakBefore w:val="0"/>
        <w:widowControl w:val="0"/>
        <w:kinsoku/>
        <w:wordWrap/>
        <w:overflowPunct/>
        <w:topLinePunct/>
        <w:autoSpaceDE/>
        <w:autoSpaceDN/>
        <w:bidi w:val="0"/>
        <w:adjustRightInd/>
        <w:snapToGrid/>
        <w:spacing w:before="0" w:after="0" w:line="560" w:lineRule="exact"/>
        <w:ind w:firstLine="643" w:firstLineChars="200"/>
        <w:jc w:val="both"/>
        <w:textAlignment w:val="auto"/>
        <w:rPr>
          <w:rFonts w:hint="default" w:ascii="Times New Roman" w:hAnsi="Times New Roman" w:eastAsia="仿宋_GB2312" w:cs="Times New Roman"/>
          <w:b w:val="0"/>
          <w:bCs w:val="0"/>
          <w:spacing w:val="6"/>
          <w:kern w:val="0"/>
          <w:sz w:val="32"/>
          <w:szCs w:val="20"/>
          <w:lang w:val="en-US" w:eastAsia="zh-CN" w:bidi="ar"/>
        </w:rPr>
      </w:pPr>
      <w:bookmarkStart w:id="49" w:name="_Toc22753"/>
      <w:bookmarkStart w:id="50" w:name="_Toc1173"/>
      <w:bookmarkStart w:id="51" w:name="_Toc14467"/>
      <w:bookmarkStart w:id="52" w:name="_Toc31183"/>
      <w:bookmarkStart w:id="53" w:name="_Toc4098"/>
      <w:bookmarkStart w:id="54" w:name="_Toc6407"/>
      <w:r>
        <w:rPr>
          <w:rFonts w:hint="eastAsia" w:ascii="Times New Roman" w:hAnsi="Times New Roman" w:eastAsia="仿宋_GB2312" w:cs="Times New Roman"/>
          <w:b/>
          <w:bCs/>
          <w:i w:val="0"/>
          <w:iCs w:val="0"/>
          <w:caps w:val="0"/>
          <w:color w:val="000000"/>
          <w:spacing w:val="0"/>
          <w:kern w:val="0"/>
          <w:sz w:val="32"/>
          <w:szCs w:val="32"/>
          <w:highlight w:val="none"/>
          <w:u w:val="none"/>
          <w:shd w:val="clear" w:color="auto" w:fill="auto"/>
          <w:lang w:val="en-US" w:eastAsia="zh-CN" w:bidi="ar"/>
        </w:rPr>
        <w:t>二是</w:t>
      </w:r>
      <w:r>
        <w:rPr>
          <w:rFonts w:hint="eastAsia" w:ascii="Times New Roman" w:hAnsi="Times New Roman" w:eastAsia="仿宋_GB2312" w:cs="Times New Roman"/>
          <w:b w:val="0"/>
          <w:bCs w:val="0"/>
          <w:spacing w:val="6"/>
          <w:kern w:val="0"/>
          <w:sz w:val="32"/>
          <w:szCs w:val="20"/>
          <w:lang w:val="en-US" w:eastAsia="zh-CN" w:bidi="ar"/>
        </w:rPr>
        <w:t>建立科技园区或孵化器，促进企业聚集，形成人才需求和供给的良性循环；政府提供资金补贴、税收优惠，鼓励企业进行科技人才培养，</w:t>
      </w:r>
      <w:r>
        <w:rPr>
          <w:rFonts w:hint="default" w:ascii="Times New Roman" w:hAnsi="Times New Roman" w:eastAsia="仿宋_GB2312" w:cs="Times New Roman"/>
          <w:b w:val="0"/>
          <w:bCs w:val="0"/>
          <w:spacing w:val="6"/>
          <w:kern w:val="0"/>
          <w:sz w:val="32"/>
          <w:szCs w:val="20"/>
          <w:lang w:val="en-US" w:eastAsia="zh-CN" w:bidi="ar"/>
        </w:rPr>
        <w:t>构建多层次</w:t>
      </w:r>
      <w:r>
        <w:rPr>
          <w:rFonts w:hint="eastAsia" w:ascii="Times New Roman" w:hAnsi="Times New Roman" w:eastAsia="仿宋_GB2312" w:cs="Times New Roman"/>
          <w:b w:val="0"/>
          <w:bCs w:val="0"/>
          <w:spacing w:val="6"/>
          <w:kern w:val="0"/>
          <w:sz w:val="32"/>
          <w:szCs w:val="20"/>
          <w:lang w:val="en-US" w:eastAsia="zh-CN" w:bidi="ar"/>
        </w:rPr>
        <w:t>科技</w:t>
      </w:r>
      <w:r>
        <w:rPr>
          <w:rFonts w:hint="default" w:ascii="Times New Roman" w:hAnsi="Times New Roman" w:eastAsia="仿宋_GB2312" w:cs="Times New Roman"/>
          <w:b w:val="0"/>
          <w:bCs w:val="0"/>
          <w:spacing w:val="6"/>
          <w:kern w:val="0"/>
          <w:sz w:val="32"/>
          <w:szCs w:val="20"/>
          <w:lang w:val="en-US" w:eastAsia="zh-CN" w:bidi="ar"/>
        </w:rPr>
        <w:t>人才激励体系</w:t>
      </w:r>
      <w:r>
        <w:rPr>
          <w:rFonts w:hint="eastAsia" w:ascii="Times New Roman" w:hAnsi="Times New Roman" w:eastAsia="仿宋_GB2312" w:cs="Times New Roman"/>
          <w:b w:val="0"/>
          <w:bCs w:val="0"/>
          <w:spacing w:val="6"/>
          <w:kern w:val="0"/>
          <w:sz w:val="32"/>
          <w:szCs w:val="20"/>
          <w:lang w:val="en-US" w:eastAsia="zh-CN" w:bidi="ar"/>
        </w:rPr>
        <w:t>及创新薪酬激励机制，吸引人才留住人才；加强与高校的科技人才合作，</w:t>
      </w:r>
      <w:r>
        <w:rPr>
          <w:rFonts w:hint="default" w:ascii="Times New Roman" w:hAnsi="Times New Roman" w:eastAsia="仿宋_GB2312" w:cs="Times New Roman"/>
          <w:b w:val="0"/>
          <w:bCs w:val="0"/>
          <w:spacing w:val="6"/>
          <w:kern w:val="0"/>
          <w:sz w:val="32"/>
          <w:szCs w:val="20"/>
          <w:lang w:val="en-US" w:eastAsia="zh-CN" w:bidi="ar"/>
        </w:rPr>
        <w:t>建立人才培养和输送机制</w:t>
      </w:r>
      <w:bookmarkEnd w:id="49"/>
      <w:bookmarkEnd w:id="50"/>
      <w:bookmarkEnd w:id="51"/>
      <w:r>
        <w:rPr>
          <w:rFonts w:hint="eastAsia" w:ascii="Times New Roman" w:hAnsi="Times New Roman" w:eastAsia="仿宋_GB2312" w:cs="Times New Roman"/>
          <w:b w:val="0"/>
          <w:bCs w:val="0"/>
          <w:spacing w:val="6"/>
          <w:kern w:val="0"/>
          <w:sz w:val="32"/>
          <w:szCs w:val="20"/>
          <w:lang w:val="en-US" w:eastAsia="zh-CN" w:bidi="ar"/>
        </w:rPr>
        <w:t>，为吐鲁番科技创新产业发展，培养更多的青年技术骨干，提高科技人才队伍的整体素质水平。</w:t>
      </w:r>
      <w:bookmarkEnd w:id="52"/>
      <w:bookmarkEnd w:id="53"/>
      <w:bookmarkEnd w:id="54"/>
    </w:p>
    <w:p>
      <w:pPr>
        <w:pStyle w:val="11"/>
        <w:keepNext w:val="0"/>
        <w:keepLines w:val="0"/>
        <w:pageBreakBefore w:val="0"/>
        <w:widowControl w:val="0"/>
        <w:kinsoku/>
        <w:wordWrap/>
        <w:overflowPunct/>
        <w:topLinePunct/>
        <w:autoSpaceDE/>
        <w:autoSpaceDN/>
        <w:bidi w:val="0"/>
        <w:adjustRightInd/>
        <w:snapToGrid/>
        <w:spacing w:before="0" w:after="0" w:line="560" w:lineRule="exact"/>
        <w:ind w:firstLine="643" w:firstLineChars="200"/>
        <w:jc w:val="both"/>
        <w:textAlignment w:val="auto"/>
        <w:rPr>
          <w:rFonts w:hint="eastAsia" w:ascii="Times New Roman" w:hAnsi="Times New Roman"/>
          <w:lang w:val="en-US" w:eastAsia="zh-CN"/>
        </w:rPr>
      </w:pPr>
      <w:bookmarkStart w:id="55" w:name="_Toc12978"/>
      <w:bookmarkStart w:id="56" w:name="_Toc27745"/>
      <w:bookmarkStart w:id="57" w:name="_Toc14575"/>
      <w:r>
        <w:rPr>
          <w:rFonts w:hint="eastAsia" w:ascii="Times New Roman" w:hAnsi="Times New Roman" w:eastAsia="仿宋_GB2312" w:cs="Times New Roman"/>
          <w:b/>
          <w:bCs/>
          <w:i w:val="0"/>
          <w:iCs w:val="0"/>
          <w:caps w:val="0"/>
          <w:color w:val="000000"/>
          <w:spacing w:val="0"/>
          <w:kern w:val="0"/>
          <w:sz w:val="32"/>
          <w:szCs w:val="32"/>
          <w:highlight w:val="none"/>
          <w:u w:val="none"/>
          <w:shd w:val="clear" w:color="auto" w:fill="auto"/>
          <w:lang w:val="en-US" w:eastAsia="zh-CN" w:bidi="ar"/>
        </w:rPr>
        <w:t>三是</w:t>
      </w:r>
      <w:r>
        <w:rPr>
          <w:rFonts w:hint="eastAsia" w:ascii="Times New Roman" w:hAnsi="Times New Roman" w:eastAsia="仿宋_GB2312" w:cs="Times New Roman"/>
          <w:b w:val="0"/>
          <w:bCs w:val="0"/>
          <w:spacing w:val="6"/>
          <w:kern w:val="0"/>
          <w:sz w:val="32"/>
          <w:szCs w:val="20"/>
          <w:lang w:val="en-US" w:eastAsia="zh-CN" w:bidi="ar"/>
        </w:rPr>
        <w:t>完善科技项目资金监督管理机制，加大监管力度，对实施中的科技项目及时跟进，动态掌握资金使用情况，提高在资金使用全过程中的</w:t>
      </w:r>
      <w:r>
        <w:rPr>
          <w:rFonts w:hint="eastAsia" w:ascii="Times New Roman" w:hAnsi="Times New Roman" w:eastAsia="仿宋_GB2312" w:cs="Times New Roman"/>
          <w:b w:val="0"/>
          <w:bCs w:val="0"/>
          <w:spacing w:val="6"/>
          <w:kern w:val="0"/>
          <w:sz w:val="32"/>
          <w:szCs w:val="20"/>
          <w:u w:val="none"/>
          <w:shd w:val="clear" w:color="auto" w:fill="auto"/>
          <w:lang w:val="en-US" w:eastAsia="zh-CN" w:bidi="ar"/>
        </w:rPr>
        <w:t>风险预警能力</w:t>
      </w:r>
      <w:r>
        <w:rPr>
          <w:rFonts w:hint="eastAsia" w:ascii="Times New Roman" w:hAnsi="Times New Roman" w:eastAsia="仿宋_GB2312" w:cs="Times New Roman"/>
          <w:b w:val="0"/>
          <w:bCs w:val="0"/>
          <w:spacing w:val="6"/>
          <w:kern w:val="0"/>
          <w:sz w:val="32"/>
          <w:szCs w:val="20"/>
          <w:lang w:val="en-US" w:eastAsia="zh-CN" w:bidi="ar"/>
        </w:rPr>
        <w:t>；强化与资金使用单位的沟通协作，发现问题迅速响应、及时解决；建立健全奖惩制度，对资金使用规范、执行良好的单位给予奖励与表彰，对违反资金管理规定、执行效果不佳的单位进行通报批评并采取相应惩戒措施，切实提升各单位对资金规范使用重要性的认识。</w:t>
      </w:r>
      <w:bookmarkEnd w:id="55"/>
      <w:bookmarkEnd w:id="56"/>
      <w:bookmarkEnd w:id="57"/>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3BBC1B-FECB-484E-B94D-8A3A3E6956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43A8102-B324-4041-98B2-74D3D07E9BE3}"/>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8AA4A964-4BD3-4862-90DD-8F25DD611DAC}"/>
  </w:font>
  <w:font w:name="隶书">
    <w:panose1 w:val="02010509060101010101"/>
    <w:charset w:val="86"/>
    <w:family w:val="modern"/>
    <w:pitch w:val="default"/>
    <w:sig w:usb0="00000001" w:usb1="080E0000" w:usb2="00000000" w:usb3="00000000" w:csb0="00040000" w:csb1="00000000"/>
    <w:embedRegular r:id="rId4" w:fontKey="{E24339C8-9DA2-4ED0-AC3F-E24AE13B2569}"/>
  </w:font>
  <w:font w:name="楷体">
    <w:panose1 w:val="02010609060101010101"/>
    <w:charset w:val="86"/>
    <w:family w:val="auto"/>
    <w:pitch w:val="default"/>
    <w:sig w:usb0="800002BF" w:usb1="38CF7CFA" w:usb2="00000016" w:usb3="00000000" w:csb0="00040001" w:csb1="00000000"/>
    <w:embedRegular r:id="rId5" w:fontKey="{6E6AFCAC-9C70-473F-AAEF-C1275C8E14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imes New Roman" w:hAns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rPr>
                          </w:pPr>
                          <w:r>
                            <w:rPr>
                              <w:rFonts w:ascii="Times New Roman" w:hAnsi="Times New Roman"/>
                            </w:rPr>
                            <w:fldChar w:fldCharType="begin"/>
                          </w:r>
                          <w:r>
                            <w:instrText xml:space="preserve"> PAGE  \* MERGEFORMAT </w:instrText>
                          </w:r>
                          <w:r>
                            <w:rPr>
                              <w:rFonts w:ascii="Times New Roman" w:hAnsi="Times New Roman"/>
                            </w:rPr>
                            <w:fldChar w:fldCharType="separate"/>
                          </w:r>
                          <w:r>
                            <w:t>1</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7"/>
                      <w:rPr>
                        <w:rFonts w:ascii="Times New Roman" w:hAnsi="Times New Roman"/>
                      </w:rPr>
                    </w:pPr>
                    <w:r>
                      <w:rPr>
                        <w:rFonts w:ascii="Times New Roman" w:hAnsi="Times New Roman"/>
                      </w:rPr>
                      <w:fldChar w:fldCharType="begin"/>
                    </w:r>
                    <w:r>
                      <w:instrText xml:space="preserve"> PAGE  \* MERGEFORMAT </w:instrText>
                    </w:r>
                    <w:r>
                      <w:rPr>
                        <w:rFonts w:ascii="Times New Roman" w:hAnsi="Times New Roman"/>
                      </w:rPr>
                      <w:fldChar w:fldCharType="separate"/>
                    </w:r>
                    <w:r>
                      <w:t>1</w:t>
                    </w:r>
                    <w:r>
                      <w:rPr>
                        <w:rFonts w:ascii="Times New Roman" w:hAnsi="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pBdr>
        <w:bottom w:val="none" w:color="auto" w:sz="0" w:space="1"/>
      </w:pBdr>
      <w:kinsoku/>
      <w:wordWrap/>
      <w:overflowPunct/>
      <w:topLinePunct w:val="0"/>
      <w:bidi w:val="0"/>
      <w:adjustRightInd/>
      <w:snapToGrid w:val="0"/>
      <w:spacing w:after="0" w:line="300" w:lineRule="exact"/>
      <w:ind w:firstLine="840" w:firstLineChars="400"/>
      <w:jc w:val="left"/>
      <w:textAlignment w:val="auto"/>
      <w:outlineLvl w:val="9"/>
      <w:rPr>
        <w:rFonts w:hint="eastAsia" w:ascii="Times New Roman" w:hAnsi="Times New Roman" w:eastAsia="宋体"/>
        <w:b w:val="0"/>
        <w:bCs w:val="0"/>
        <w:sz w:val="21"/>
        <w:szCs w:val="21"/>
      </w:rPr>
    </w:pPr>
    <w:r>
      <w:rPr>
        <w:rFonts w:hint="eastAsia" w:ascii="隶书" w:hAnsi="宋体"/>
        <w:b w:val="0"/>
        <w:bCs w:val="0"/>
        <w:sz w:val="21"/>
        <w:szCs w:val="21"/>
      </w:rPr>
      <w:drawing>
        <wp:anchor distT="0" distB="0" distL="114300" distR="114300" simplePos="0" relativeHeight="251659264" behindDoc="0" locked="0" layoutInCell="1" allowOverlap="1">
          <wp:simplePos x="0" y="0"/>
          <wp:positionH relativeFrom="column">
            <wp:posOffset>-5080</wp:posOffset>
          </wp:positionH>
          <wp:positionV relativeFrom="paragraph">
            <wp:posOffset>-15875</wp:posOffset>
          </wp:positionV>
          <wp:extent cx="422910" cy="385445"/>
          <wp:effectExtent l="0" t="0" r="3810" b="10795"/>
          <wp:wrapSquare wrapText="bothSides"/>
          <wp:docPr id="2" name="图片 2" descr="财讯小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财讯小图标"/>
                  <pic:cNvPicPr>
                    <a:picLocks noChangeAspect="1"/>
                  </pic:cNvPicPr>
                </pic:nvPicPr>
                <pic:blipFill>
                  <a:blip r:embed="rId1"/>
                  <a:stretch>
                    <a:fillRect/>
                  </a:stretch>
                </pic:blipFill>
                <pic:spPr>
                  <a:xfrm>
                    <a:off x="0" y="0"/>
                    <a:ext cx="422910" cy="385445"/>
                  </a:xfrm>
                  <a:prstGeom prst="rect">
                    <a:avLst/>
                  </a:prstGeom>
                </pic:spPr>
              </pic:pic>
            </a:graphicData>
          </a:graphic>
        </wp:anchor>
      </w:drawing>
    </w:r>
    <w:r>
      <w:rPr>
        <w:rFonts w:hint="eastAsia" w:ascii="Times New Roman" w:hAnsi="Times New Roman"/>
        <w:b w:val="0"/>
        <w:bCs w:val="0"/>
        <w:sz w:val="21"/>
        <w:szCs w:val="21"/>
      </w:rPr>
      <w:t>新</w:t>
    </w:r>
    <w:r>
      <w:rPr>
        <w:rFonts w:hint="eastAsia" w:ascii="Times New Roman" w:hAnsi="Times New Roman" w:eastAsia="宋体"/>
        <w:b w:val="0"/>
        <w:bCs w:val="0"/>
        <w:sz w:val="21"/>
        <w:szCs w:val="21"/>
      </w:rPr>
      <w:t>疆</w:t>
    </w:r>
    <w:r>
      <w:rPr>
        <w:rFonts w:hint="eastAsia" w:ascii="Times New Roman" w:hAnsi="Times New Roman" w:eastAsia="宋体"/>
        <w:b w:val="0"/>
        <w:bCs w:val="0"/>
        <w:sz w:val="21"/>
        <w:szCs w:val="21"/>
        <w:lang w:val="en-US" w:eastAsia="zh-CN"/>
      </w:rPr>
      <w:t>财讯睿智信息咨询</w:t>
    </w:r>
    <w:r>
      <w:rPr>
        <w:rFonts w:hint="eastAsia" w:ascii="Times New Roman" w:hAnsi="Times New Roman" w:eastAsia="宋体"/>
        <w:b w:val="0"/>
        <w:bCs w:val="0"/>
        <w:sz w:val="21"/>
        <w:szCs w:val="21"/>
      </w:rPr>
      <w:t>有限</w:t>
    </w:r>
    <w:r>
      <w:rPr>
        <w:rFonts w:hint="eastAsia" w:ascii="Times New Roman" w:hAnsi="Times New Roman" w:eastAsia="宋体"/>
        <w:b w:val="0"/>
        <w:bCs w:val="0"/>
        <w:sz w:val="21"/>
        <w:szCs w:val="21"/>
        <w:lang w:val="en-US" w:eastAsia="zh-CN"/>
      </w:rPr>
      <w:t>公司</w:t>
    </w:r>
    <w:r>
      <w:rPr>
        <w:rFonts w:hint="eastAsia" w:ascii="Times New Roman" w:hAnsi="Times New Roman" w:eastAsia="宋体"/>
        <w:b w:val="0"/>
        <w:bCs w:val="0"/>
        <w:sz w:val="21"/>
        <w:szCs w:val="21"/>
      </w:rPr>
      <w:t xml:space="preserve">     </w:t>
    </w:r>
  </w:p>
  <w:p>
    <w:pPr>
      <w:pStyle w:val="8"/>
      <w:keepNext w:val="0"/>
      <w:keepLines w:val="0"/>
      <w:pageBreakBefore w:val="0"/>
      <w:widowControl w:val="0"/>
      <w:pBdr>
        <w:bottom w:val="single" w:color="auto" w:sz="4" w:space="1"/>
      </w:pBdr>
      <w:kinsoku/>
      <w:wordWrap/>
      <w:overflowPunct/>
      <w:topLinePunct w:val="0"/>
      <w:bidi w:val="0"/>
      <w:adjustRightInd/>
      <w:snapToGrid w:val="0"/>
      <w:spacing w:after="0" w:line="300" w:lineRule="exact"/>
      <w:ind w:firstLine="840" w:firstLineChars="400"/>
      <w:jc w:val="left"/>
      <w:textAlignment w:val="auto"/>
      <w:outlineLvl w:val="9"/>
      <w:rPr>
        <w:rFonts w:hint="default" w:ascii="Times New Roman" w:hAnsi="Times New Roman" w:eastAsia="宋体" w:cs="Times New Roman"/>
        <w:b w:val="0"/>
        <w:bCs w:val="0"/>
        <w:sz w:val="21"/>
        <w:szCs w:val="21"/>
      </w:rPr>
    </w:pPr>
    <w:r>
      <w:rPr>
        <w:rFonts w:hint="eastAsia" w:ascii="Times New Roman" w:hAnsi="Times New Roman" w:cs="Times New Roman"/>
        <w:b w:val="0"/>
        <w:bCs w:val="0"/>
        <w:sz w:val="21"/>
        <w:szCs w:val="21"/>
        <w:lang w:eastAsia="zh-CN"/>
      </w:rPr>
      <w:t>X</w:t>
    </w:r>
    <w:r>
      <w:rPr>
        <w:rFonts w:hint="default" w:ascii="Times New Roman" w:hAnsi="Times New Roman" w:eastAsia="宋体" w:cs="Times New Roman"/>
        <w:b w:val="0"/>
        <w:bCs w:val="0"/>
        <w:sz w:val="21"/>
        <w:szCs w:val="21"/>
      </w:rPr>
      <w:t>injiang Cai</w:t>
    </w:r>
    <w:r>
      <w:rPr>
        <w:rFonts w:hint="eastAsia" w:ascii="Times New Roman" w:hAnsi="Times New Roman" w:cs="Times New Roman"/>
        <w:b w:val="0"/>
        <w:bCs w:val="0"/>
        <w:sz w:val="21"/>
        <w:szCs w:val="21"/>
        <w:lang w:eastAsia="zh-CN"/>
      </w:rPr>
      <w:t>X</w:t>
    </w:r>
    <w:r>
      <w:rPr>
        <w:rFonts w:hint="default" w:ascii="Times New Roman" w:hAnsi="Times New Roman" w:eastAsia="宋体" w:cs="Times New Roman"/>
        <w:b w:val="0"/>
        <w:bCs w:val="0"/>
        <w:sz w:val="21"/>
        <w:szCs w:val="21"/>
      </w:rPr>
      <w:t>un Ruizhi Information Consulting Co.,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E1F9C"/>
    <w:multiLevelType w:val="singleLevel"/>
    <w:tmpl w:val="88EE1F9C"/>
    <w:lvl w:ilvl="0" w:tentative="0">
      <w:start w:val="1"/>
      <w:numFmt w:val="chineseCounting"/>
      <w:suff w:val="nothing"/>
      <w:lvlText w:val="（%1）"/>
      <w:lvlJc w:val="left"/>
      <w:rPr>
        <w:rFonts w:hint="eastAsia"/>
      </w:rPr>
    </w:lvl>
  </w:abstractNum>
  <w:abstractNum w:abstractNumId="1">
    <w:nsid w:val="71D1758D"/>
    <w:multiLevelType w:val="singleLevel"/>
    <w:tmpl w:val="71D1758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MTIxNTJlMjY2NjM5NjdjYmYwZjVhYjA4ZGEwODEifQ=="/>
  </w:docVars>
  <w:rsids>
    <w:rsidRoot w:val="0966299D"/>
    <w:rsid w:val="00072C34"/>
    <w:rsid w:val="001570FF"/>
    <w:rsid w:val="007200AE"/>
    <w:rsid w:val="008878D1"/>
    <w:rsid w:val="00B76409"/>
    <w:rsid w:val="00CA613C"/>
    <w:rsid w:val="01017684"/>
    <w:rsid w:val="01033565"/>
    <w:rsid w:val="01161381"/>
    <w:rsid w:val="012670EA"/>
    <w:rsid w:val="013E0548"/>
    <w:rsid w:val="016E2F6B"/>
    <w:rsid w:val="01CD7566"/>
    <w:rsid w:val="01D152A8"/>
    <w:rsid w:val="01E468FF"/>
    <w:rsid w:val="01EB2416"/>
    <w:rsid w:val="01EF3980"/>
    <w:rsid w:val="01F0403A"/>
    <w:rsid w:val="01F32976"/>
    <w:rsid w:val="02096194"/>
    <w:rsid w:val="022278B2"/>
    <w:rsid w:val="02511F45"/>
    <w:rsid w:val="02533F0F"/>
    <w:rsid w:val="02900CBF"/>
    <w:rsid w:val="029E3759"/>
    <w:rsid w:val="02A91D81"/>
    <w:rsid w:val="02BF3353"/>
    <w:rsid w:val="02C10E79"/>
    <w:rsid w:val="02FE20CD"/>
    <w:rsid w:val="030C19A7"/>
    <w:rsid w:val="031F3DF1"/>
    <w:rsid w:val="032D29B2"/>
    <w:rsid w:val="033B6E7D"/>
    <w:rsid w:val="03630182"/>
    <w:rsid w:val="036B5288"/>
    <w:rsid w:val="0388408C"/>
    <w:rsid w:val="039E565E"/>
    <w:rsid w:val="03B86720"/>
    <w:rsid w:val="03E272F9"/>
    <w:rsid w:val="03F139E0"/>
    <w:rsid w:val="04005A26"/>
    <w:rsid w:val="041A1188"/>
    <w:rsid w:val="041D2A27"/>
    <w:rsid w:val="044A63DA"/>
    <w:rsid w:val="046643CE"/>
    <w:rsid w:val="046749DD"/>
    <w:rsid w:val="046B3792"/>
    <w:rsid w:val="047563BF"/>
    <w:rsid w:val="04844854"/>
    <w:rsid w:val="049B394B"/>
    <w:rsid w:val="04C9495C"/>
    <w:rsid w:val="04EE7F1F"/>
    <w:rsid w:val="04F63B8C"/>
    <w:rsid w:val="04FC43EA"/>
    <w:rsid w:val="05235E1B"/>
    <w:rsid w:val="05571BB3"/>
    <w:rsid w:val="055D636D"/>
    <w:rsid w:val="05A056BD"/>
    <w:rsid w:val="05B41169"/>
    <w:rsid w:val="05D37841"/>
    <w:rsid w:val="05F14ED7"/>
    <w:rsid w:val="05FD48BE"/>
    <w:rsid w:val="062F259D"/>
    <w:rsid w:val="0673692E"/>
    <w:rsid w:val="069074E0"/>
    <w:rsid w:val="06922615"/>
    <w:rsid w:val="069C40D7"/>
    <w:rsid w:val="06B17456"/>
    <w:rsid w:val="06B86A37"/>
    <w:rsid w:val="06DE46EF"/>
    <w:rsid w:val="072B545A"/>
    <w:rsid w:val="07634BF4"/>
    <w:rsid w:val="0797664C"/>
    <w:rsid w:val="07B0280C"/>
    <w:rsid w:val="07F471B4"/>
    <w:rsid w:val="08017F69"/>
    <w:rsid w:val="080D2DB2"/>
    <w:rsid w:val="0825634E"/>
    <w:rsid w:val="082C148A"/>
    <w:rsid w:val="0869623A"/>
    <w:rsid w:val="086C5D2B"/>
    <w:rsid w:val="08B84ACC"/>
    <w:rsid w:val="08D4742C"/>
    <w:rsid w:val="08FC0E5C"/>
    <w:rsid w:val="09102B5A"/>
    <w:rsid w:val="09320D22"/>
    <w:rsid w:val="09464A8E"/>
    <w:rsid w:val="095A5B83"/>
    <w:rsid w:val="0966299D"/>
    <w:rsid w:val="09FC30DE"/>
    <w:rsid w:val="0A0A351B"/>
    <w:rsid w:val="0A454A85"/>
    <w:rsid w:val="0A456833"/>
    <w:rsid w:val="0A717628"/>
    <w:rsid w:val="0AB6328D"/>
    <w:rsid w:val="0AC51722"/>
    <w:rsid w:val="0AE222D4"/>
    <w:rsid w:val="0AF81AF7"/>
    <w:rsid w:val="0B072310"/>
    <w:rsid w:val="0B097861"/>
    <w:rsid w:val="0B257EEC"/>
    <w:rsid w:val="0B325009"/>
    <w:rsid w:val="0B3643CE"/>
    <w:rsid w:val="0B446AEB"/>
    <w:rsid w:val="0B76450E"/>
    <w:rsid w:val="0B923CFA"/>
    <w:rsid w:val="0B9E269F"/>
    <w:rsid w:val="0C083FBC"/>
    <w:rsid w:val="0C2D3A23"/>
    <w:rsid w:val="0C3628D7"/>
    <w:rsid w:val="0C9870EE"/>
    <w:rsid w:val="0C9D33BF"/>
    <w:rsid w:val="0CA710DF"/>
    <w:rsid w:val="0CBD0903"/>
    <w:rsid w:val="0CCE0D62"/>
    <w:rsid w:val="0CCF0636"/>
    <w:rsid w:val="0D3C216F"/>
    <w:rsid w:val="0D447276"/>
    <w:rsid w:val="0D4B23B2"/>
    <w:rsid w:val="0D7B505C"/>
    <w:rsid w:val="0D906017"/>
    <w:rsid w:val="0DA33F9D"/>
    <w:rsid w:val="0DBD4932"/>
    <w:rsid w:val="0DCB0FD3"/>
    <w:rsid w:val="0E042561"/>
    <w:rsid w:val="0E1B7FD7"/>
    <w:rsid w:val="0E597B37"/>
    <w:rsid w:val="0E7E40C2"/>
    <w:rsid w:val="0E8518F4"/>
    <w:rsid w:val="0E8A515C"/>
    <w:rsid w:val="0ED62150"/>
    <w:rsid w:val="0ED939EE"/>
    <w:rsid w:val="0EEF3211"/>
    <w:rsid w:val="0EF425D6"/>
    <w:rsid w:val="0F152C78"/>
    <w:rsid w:val="0F29227F"/>
    <w:rsid w:val="0F962004"/>
    <w:rsid w:val="0FAB7138"/>
    <w:rsid w:val="0FAE6C29"/>
    <w:rsid w:val="0FB26719"/>
    <w:rsid w:val="0FE95EB3"/>
    <w:rsid w:val="101F18D4"/>
    <w:rsid w:val="106A2B50"/>
    <w:rsid w:val="108E5F53"/>
    <w:rsid w:val="109776BD"/>
    <w:rsid w:val="10C06C14"/>
    <w:rsid w:val="10DE6CB2"/>
    <w:rsid w:val="11274EE5"/>
    <w:rsid w:val="11655F9D"/>
    <w:rsid w:val="116972AB"/>
    <w:rsid w:val="117D68B3"/>
    <w:rsid w:val="11800151"/>
    <w:rsid w:val="11E46932"/>
    <w:rsid w:val="129245E0"/>
    <w:rsid w:val="1299771C"/>
    <w:rsid w:val="12CD1ABC"/>
    <w:rsid w:val="13086650"/>
    <w:rsid w:val="13174AE5"/>
    <w:rsid w:val="13207E3D"/>
    <w:rsid w:val="1324792E"/>
    <w:rsid w:val="13516EC1"/>
    <w:rsid w:val="13675A6C"/>
    <w:rsid w:val="136C4E31"/>
    <w:rsid w:val="138A3509"/>
    <w:rsid w:val="138C102F"/>
    <w:rsid w:val="13A10F7E"/>
    <w:rsid w:val="13D36C5E"/>
    <w:rsid w:val="13D604FC"/>
    <w:rsid w:val="13F310AE"/>
    <w:rsid w:val="13FD3CDB"/>
    <w:rsid w:val="141D25CF"/>
    <w:rsid w:val="14260760"/>
    <w:rsid w:val="142B4CEC"/>
    <w:rsid w:val="146124BC"/>
    <w:rsid w:val="149A3C1F"/>
    <w:rsid w:val="149A4DBD"/>
    <w:rsid w:val="14F926F4"/>
    <w:rsid w:val="150115A9"/>
    <w:rsid w:val="153876C0"/>
    <w:rsid w:val="156C1118"/>
    <w:rsid w:val="15966195"/>
    <w:rsid w:val="15AB60E4"/>
    <w:rsid w:val="15B30AF5"/>
    <w:rsid w:val="15B91DC2"/>
    <w:rsid w:val="15D05B4B"/>
    <w:rsid w:val="161466D7"/>
    <w:rsid w:val="1626576B"/>
    <w:rsid w:val="16550F32"/>
    <w:rsid w:val="165D34A1"/>
    <w:rsid w:val="169C77DB"/>
    <w:rsid w:val="16D026BB"/>
    <w:rsid w:val="1700122C"/>
    <w:rsid w:val="171B1048"/>
    <w:rsid w:val="173B6FF4"/>
    <w:rsid w:val="17604CAC"/>
    <w:rsid w:val="178F5592"/>
    <w:rsid w:val="17AE3C6A"/>
    <w:rsid w:val="17C3523B"/>
    <w:rsid w:val="17CA65CA"/>
    <w:rsid w:val="17F90C5D"/>
    <w:rsid w:val="181066D2"/>
    <w:rsid w:val="18534811"/>
    <w:rsid w:val="18573340"/>
    <w:rsid w:val="186B1B5B"/>
    <w:rsid w:val="18787DD4"/>
    <w:rsid w:val="18952734"/>
    <w:rsid w:val="18A92683"/>
    <w:rsid w:val="18C63235"/>
    <w:rsid w:val="18D53478"/>
    <w:rsid w:val="18FF4051"/>
    <w:rsid w:val="19232435"/>
    <w:rsid w:val="194F6D87"/>
    <w:rsid w:val="195A572B"/>
    <w:rsid w:val="19B157EE"/>
    <w:rsid w:val="19E94CA8"/>
    <w:rsid w:val="1A122E7B"/>
    <w:rsid w:val="1A1B4EBB"/>
    <w:rsid w:val="1A2521DD"/>
    <w:rsid w:val="1A2F0966"/>
    <w:rsid w:val="1A7D7923"/>
    <w:rsid w:val="1A951111"/>
    <w:rsid w:val="1ABF7F3C"/>
    <w:rsid w:val="1AD02149"/>
    <w:rsid w:val="1AD95598"/>
    <w:rsid w:val="1AED4AA9"/>
    <w:rsid w:val="1B2B55D1"/>
    <w:rsid w:val="1B6D7998"/>
    <w:rsid w:val="1B854CE1"/>
    <w:rsid w:val="1B8A679C"/>
    <w:rsid w:val="1B8F3DB2"/>
    <w:rsid w:val="1B974A15"/>
    <w:rsid w:val="1BEE36D9"/>
    <w:rsid w:val="1C0025BA"/>
    <w:rsid w:val="1C3E30E2"/>
    <w:rsid w:val="1C6963B1"/>
    <w:rsid w:val="1C9A0C60"/>
    <w:rsid w:val="1CB03FE0"/>
    <w:rsid w:val="1CB17D58"/>
    <w:rsid w:val="1CB33AD0"/>
    <w:rsid w:val="1CBD66FD"/>
    <w:rsid w:val="1CC655B2"/>
    <w:rsid w:val="1CDA6D6F"/>
    <w:rsid w:val="1D344C11"/>
    <w:rsid w:val="1D9B6A3E"/>
    <w:rsid w:val="1DAD574A"/>
    <w:rsid w:val="1DAE2D0C"/>
    <w:rsid w:val="1DBC69B5"/>
    <w:rsid w:val="1DCC309C"/>
    <w:rsid w:val="1DE55F0B"/>
    <w:rsid w:val="1DFC75B8"/>
    <w:rsid w:val="1E193E07"/>
    <w:rsid w:val="1E195BB5"/>
    <w:rsid w:val="1E380731"/>
    <w:rsid w:val="1E4164A1"/>
    <w:rsid w:val="1E62130A"/>
    <w:rsid w:val="1E8A6AB3"/>
    <w:rsid w:val="1E8F7C25"/>
    <w:rsid w:val="1EA71413"/>
    <w:rsid w:val="1ECC0E79"/>
    <w:rsid w:val="1EE46EC3"/>
    <w:rsid w:val="1EF65EF6"/>
    <w:rsid w:val="1F0F51C1"/>
    <w:rsid w:val="1F332CA6"/>
    <w:rsid w:val="1F5350F7"/>
    <w:rsid w:val="1FA94D17"/>
    <w:rsid w:val="1FB738D7"/>
    <w:rsid w:val="1FE8583F"/>
    <w:rsid w:val="20230F6D"/>
    <w:rsid w:val="20234AC9"/>
    <w:rsid w:val="20256A93"/>
    <w:rsid w:val="204333BD"/>
    <w:rsid w:val="20513624"/>
    <w:rsid w:val="205D622D"/>
    <w:rsid w:val="206D3F96"/>
    <w:rsid w:val="20A911E5"/>
    <w:rsid w:val="20E06E5E"/>
    <w:rsid w:val="20EE7282"/>
    <w:rsid w:val="210B5C89"/>
    <w:rsid w:val="21A12149"/>
    <w:rsid w:val="21DC4D38"/>
    <w:rsid w:val="21E64000"/>
    <w:rsid w:val="21F87F11"/>
    <w:rsid w:val="21F93D33"/>
    <w:rsid w:val="22274D44"/>
    <w:rsid w:val="224F7DF7"/>
    <w:rsid w:val="227635D6"/>
    <w:rsid w:val="227C6712"/>
    <w:rsid w:val="228D6B72"/>
    <w:rsid w:val="22CA1B74"/>
    <w:rsid w:val="22FF181D"/>
    <w:rsid w:val="2309269C"/>
    <w:rsid w:val="23270D74"/>
    <w:rsid w:val="23312119"/>
    <w:rsid w:val="23353491"/>
    <w:rsid w:val="236C06EB"/>
    <w:rsid w:val="238B4E5F"/>
    <w:rsid w:val="23A6613D"/>
    <w:rsid w:val="23CC2BC2"/>
    <w:rsid w:val="23FE3883"/>
    <w:rsid w:val="243E0123"/>
    <w:rsid w:val="2446522A"/>
    <w:rsid w:val="24466FD8"/>
    <w:rsid w:val="24681644"/>
    <w:rsid w:val="24B14D99"/>
    <w:rsid w:val="25853B30"/>
    <w:rsid w:val="259F2E44"/>
    <w:rsid w:val="259F4BF2"/>
    <w:rsid w:val="25A02F8E"/>
    <w:rsid w:val="25CC32F4"/>
    <w:rsid w:val="25E90563"/>
    <w:rsid w:val="25F969F8"/>
    <w:rsid w:val="264D3FAC"/>
    <w:rsid w:val="2694227D"/>
    <w:rsid w:val="26A85D28"/>
    <w:rsid w:val="26B20032"/>
    <w:rsid w:val="26BF7BB3"/>
    <w:rsid w:val="26C436A5"/>
    <w:rsid w:val="26C568DA"/>
    <w:rsid w:val="26EA00EF"/>
    <w:rsid w:val="273D2914"/>
    <w:rsid w:val="27624129"/>
    <w:rsid w:val="276460F3"/>
    <w:rsid w:val="27716A62"/>
    <w:rsid w:val="277D5407"/>
    <w:rsid w:val="27B0758A"/>
    <w:rsid w:val="282169A8"/>
    <w:rsid w:val="28481571"/>
    <w:rsid w:val="284D23F2"/>
    <w:rsid w:val="284E0B51"/>
    <w:rsid w:val="285E0D94"/>
    <w:rsid w:val="28656333"/>
    <w:rsid w:val="28893937"/>
    <w:rsid w:val="2899001E"/>
    <w:rsid w:val="28B906C0"/>
    <w:rsid w:val="28FD67FF"/>
    <w:rsid w:val="290A0F1C"/>
    <w:rsid w:val="29204B28"/>
    <w:rsid w:val="294E705B"/>
    <w:rsid w:val="29932CBF"/>
    <w:rsid w:val="299D3B3E"/>
    <w:rsid w:val="29B11398"/>
    <w:rsid w:val="29BF1D06"/>
    <w:rsid w:val="2A0C2A72"/>
    <w:rsid w:val="2A0C65CE"/>
    <w:rsid w:val="2A2313B0"/>
    <w:rsid w:val="2A581813"/>
    <w:rsid w:val="2A59392D"/>
    <w:rsid w:val="2A88659C"/>
    <w:rsid w:val="2A8D5961"/>
    <w:rsid w:val="2AA1765E"/>
    <w:rsid w:val="2AAF6413"/>
    <w:rsid w:val="2AB47391"/>
    <w:rsid w:val="2ABE3D6C"/>
    <w:rsid w:val="2ACA0963"/>
    <w:rsid w:val="2ACB46DB"/>
    <w:rsid w:val="2ADB491E"/>
    <w:rsid w:val="2AF43C32"/>
    <w:rsid w:val="2B1716CE"/>
    <w:rsid w:val="2B3109E2"/>
    <w:rsid w:val="2B4C1378"/>
    <w:rsid w:val="2B5841C1"/>
    <w:rsid w:val="2B634913"/>
    <w:rsid w:val="2B8F395A"/>
    <w:rsid w:val="2B9351F9"/>
    <w:rsid w:val="2B97559C"/>
    <w:rsid w:val="2BB92785"/>
    <w:rsid w:val="2BCE7FDF"/>
    <w:rsid w:val="2BDB094E"/>
    <w:rsid w:val="2BEC2B5B"/>
    <w:rsid w:val="2C33078A"/>
    <w:rsid w:val="2C3F712F"/>
    <w:rsid w:val="2C574478"/>
    <w:rsid w:val="2C83526D"/>
    <w:rsid w:val="2C954FA0"/>
    <w:rsid w:val="2CF37A4F"/>
    <w:rsid w:val="2D346567"/>
    <w:rsid w:val="2D574004"/>
    <w:rsid w:val="2D79041E"/>
    <w:rsid w:val="2DAD00C8"/>
    <w:rsid w:val="2DD90EBD"/>
    <w:rsid w:val="2DDD6BFF"/>
    <w:rsid w:val="2E0624F1"/>
    <w:rsid w:val="2E187C37"/>
    <w:rsid w:val="2E84235F"/>
    <w:rsid w:val="2EA4771D"/>
    <w:rsid w:val="2EBE07DF"/>
    <w:rsid w:val="2EC4391B"/>
    <w:rsid w:val="2F302D5E"/>
    <w:rsid w:val="2F3E055F"/>
    <w:rsid w:val="2F4A2E19"/>
    <w:rsid w:val="2F882B9B"/>
    <w:rsid w:val="2F8B61E7"/>
    <w:rsid w:val="2FAA48BF"/>
    <w:rsid w:val="2FE37DD1"/>
    <w:rsid w:val="2FF63FA8"/>
    <w:rsid w:val="2FFF10AF"/>
    <w:rsid w:val="300C7328"/>
    <w:rsid w:val="305807BF"/>
    <w:rsid w:val="3095731D"/>
    <w:rsid w:val="30A6777C"/>
    <w:rsid w:val="30A9101A"/>
    <w:rsid w:val="30A92DC8"/>
    <w:rsid w:val="30B023A9"/>
    <w:rsid w:val="30CD2F5B"/>
    <w:rsid w:val="30D36097"/>
    <w:rsid w:val="30D8545C"/>
    <w:rsid w:val="310149B3"/>
    <w:rsid w:val="310D77FB"/>
    <w:rsid w:val="31181CFC"/>
    <w:rsid w:val="3147073A"/>
    <w:rsid w:val="3148438F"/>
    <w:rsid w:val="31682C84"/>
    <w:rsid w:val="318B24CE"/>
    <w:rsid w:val="318D4498"/>
    <w:rsid w:val="31AD68E8"/>
    <w:rsid w:val="31B639EF"/>
    <w:rsid w:val="31B9528D"/>
    <w:rsid w:val="31CF4AB1"/>
    <w:rsid w:val="31EA3699"/>
    <w:rsid w:val="320C1861"/>
    <w:rsid w:val="320F30FF"/>
    <w:rsid w:val="325B4596"/>
    <w:rsid w:val="325B6344"/>
    <w:rsid w:val="32917FB8"/>
    <w:rsid w:val="32A001FB"/>
    <w:rsid w:val="32FC18D5"/>
    <w:rsid w:val="332901F1"/>
    <w:rsid w:val="33B977C6"/>
    <w:rsid w:val="340F5638"/>
    <w:rsid w:val="341D7D55"/>
    <w:rsid w:val="34360E17"/>
    <w:rsid w:val="345849FF"/>
    <w:rsid w:val="347742DB"/>
    <w:rsid w:val="348F0527"/>
    <w:rsid w:val="349A13A6"/>
    <w:rsid w:val="34B00BC9"/>
    <w:rsid w:val="35213875"/>
    <w:rsid w:val="352D221A"/>
    <w:rsid w:val="35571045"/>
    <w:rsid w:val="3579545F"/>
    <w:rsid w:val="359978AF"/>
    <w:rsid w:val="35E01F85"/>
    <w:rsid w:val="35FC399A"/>
    <w:rsid w:val="36032F7B"/>
    <w:rsid w:val="362F2333"/>
    <w:rsid w:val="363475D8"/>
    <w:rsid w:val="363B2715"/>
    <w:rsid w:val="36421CF5"/>
    <w:rsid w:val="364A0BAA"/>
    <w:rsid w:val="36624145"/>
    <w:rsid w:val="366A124C"/>
    <w:rsid w:val="36997E2D"/>
    <w:rsid w:val="36B83D65"/>
    <w:rsid w:val="36CA3A99"/>
    <w:rsid w:val="36D929B8"/>
    <w:rsid w:val="36EA5EE9"/>
    <w:rsid w:val="36EE59D9"/>
    <w:rsid w:val="370074BA"/>
    <w:rsid w:val="37184804"/>
    <w:rsid w:val="37427AD3"/>
    <w:rsid w:val="37441A9D"/>
    <w:rsid w:val="376932B2"/>
    <w:rsid w:val="37887BDC"/>
    <w:rsid w:val="37A14BDC"/>
    <w:rsid w:val="37B502A5"/>
    <w:rsid w:val="37E34E12"/>
    <w:rsid w:val="37E40B8A"/>
    <w:rsid w:val="38003C16"/>
    <w:rsid w:val="3825542A"/>
    <w:rsid w:val="384635F3"/>
    <w:rsid w:val="386341A5"/>
    <w:rsid w:val="388365F5"/>
    <w:rsid w:val="38B22A36"/>
    <w:rsid w:val="38B844F1"/>
    <w:rsid w:val="38CC1D4A"/>
    <w:rsid w:val="38CF5396"/>
    <w:rsid w:val="391E1E7A"/>
    <w:rsid w:val="3934169D"/>
    <w:rsid w:val="394713D0"/>
    <w:rsid w:val="39565AB7"/>
    <w:rsid w:val="39AB195F"/>
    <w:rsid w:val="3A2F2590"/>
    <w:rsid w:val="3A6816F5"/>
    <w:rsid w:val="3AAD7959"/>
    <w:rsid w:val="3AC52EF5"/>
    <w:rsid w:val="3AD60C5E"/>
    <w:rsid w:val="3AFB06C4"/>
    <w:rsid w:val="3B0A6B5A"/>
    <w:rsid w:val="3B4E6A46"/>
    <w:rsid w:val="3B624143"/>
    <w:rsid w:val="3B655E7F"/>
    <w:rsid w:val="3B6C128B"/>
    <w:rsid w:val="3B710987"/>
    <w:rsid w:val="3B9052B1"/>
    <w:rsid w:val="3B9F54F4"/>
    <w:rsid w:val="3BD333EF"/>
    <w:rsid w:val="3C025A83"/>
    <w:rsid w:val="3C1732DC"/>
    <w:rsid w:val="3C5462DE"/>
    <w:rsid w:val="3C726653"/>
    <w:rsid w:val="3C756255"/>
    <w:rsid w:val="3C85293C"/>
    <w:rsid w:val="3C8F1D62"/>
    <w:rsid w:val="3CAF5C0A"/>
    <w:rsid w:val="3CB7061B"/>
    <w:rsid w:val="3D2C725B"/>
    <w:rsid w:val="3D9B1CEB"/>
    <w:rsid w:val="3DB57251"/>
    <w:rsid w:val="3DE11DF4"/>
    <w:rsid w:val="3DFF04CC"/>
    <w:rsid w:val="3DFF671E"/>
    <w:rsid w:val="3E067AAC"/>
    <w:rsid w:val="3E4D4D29"/>
    <w:rsid w:val="3E5500EC"/>
    <w:rsid w:val="3E80785E"/>
    <w:rsid w:val="3E817133"/>
    <w:rsid w:val="3ED6747E"/>
    <w:rsid w:val="3F161F71"/>
    <w:rsid w:val="3F1735F3"/>
    <w:rsid w:val="3F3B3785"/>
    <w:rsid w:val="3F4168C2"/>
    <w:rsid w:val="3F4A5777"/>
    <w:rsid w:val="3FE67B95"/>
    <w:rsid w:val="404B17A6"/>
    <w:rsid w:val="40642868"/>
    <w:rsid w:val="40907B01"/>
    <w:rsid w:val="40B01F51"/>
    <w:rsid w:val="40EB11DB"/>
    <w:rsid w:val="40F55BB6"/>
    <w:rsid w:val="40FF07E3"/>
    <w:rsid w:val="41140732"/>
    <w:rsid w:val="41546D80"/>
    <w:rsid w:val="416050CE"/>
    <w:rsid w:val="41742F7F"/>
    <w:rsid w:val="41990C37"/>
    <w:rsid w:val="41D61543"/>
    <w:rsid w:val="41FD4D22"/>
    <w:rsid w:val="42075BA1"/>
    <w:rsid w:val="420978D7"/>
    <w:rsid w:val="42164036"/>
    <w:rsid w:val="42254279"/>
    <w:rsid w:val="426923B8"/>
    <w:rsid w:val="426E308D"/>
    <w:rsid w:val="42845443"/>
    <w:rsid w:val="42890CAC"/>
    <w:rsid w:val="42B776C2"/>
    <w:rsid w:val="42C10446"/>
    <w:rsid w:val="42FB3958"/>
    <w:rsid w:val="430B346F"/>
    <w:rsid w:val="4335673E"/>
    <w:rsid w:val="436F0D42"/>
    <w:rsid w:val="438A4CDB"/>
    <w:rsid w:val="438C0A54"/>
    <w:rsid w:val="43DB1093"/>
    <w:rsid w:val="43F839F3"/>
    <w:rsid w:val="44126281"/>
    <w:rsid w:val="443D3AFC"/>
    <w:rsid w:val="448160DE"/>
    <w:rsid w:val="44B813D4"/>
    <w:rsid w:val="44BF6C07"/>
    <w:rsid w:val="44DC1567"/>
    <w:rsid w:val="44DC50C3"/>
    <w:rsid w:val="45140D01"/>
    <w:rsid w:val="453C2005"/>
    <w:rsid w:val="45436894"/>
    <w:rsid w:val="455530C7"/>
    <w:rsid w:val="45594965"/>
    <w:rsid w:val="458B6AE9"/>
    <w:rsid w:val="45A73923"/>
    <w:rsid w:val="45B147A1"/>
    <w:rsid w:val="45CE26E6"/>
    <w:rsid w:val="45CF2E79"/>
    <w:rsid w:val="45E34E05"/>
    <w:rsid w:val="46050649"/>
    <w:rsid w:val="460F14C8"/>
    <w:rsid w:val="46116FEE"/>
    <w:rsid w:val="46153E08"/>
    <w:rsid w:val="464A0752"/>
    <w:rsid w:val="465B295F"/>
    <w:rsid w:val="46696B15"/>
    <w:rsid w:val="467F03FC"/>
    <w:rsid w:val="46A71700"/>
    <w:rsid w:val="46BB51AC"/>
    <w:rsid w:val="46C76C36"/>
    <w:rsid w:val="46CE4EDF"/>
    <w:rsid w:val="46E841F3"/>
    <w:rsid w:val="46EE10DD"/>
    <w:rsid w:val="470E79D1"/>
    <w:rsid w:val="47280A93"/>
    <w:rsid w:val="47462CC7"/>
    <w:rsid w:val="474927B8"/>
    <w:rsid w:val="474A695B"/>
    <w:rsid w:val="47723ABC"/>
    <w:rsid w:val="47767A51"/>
    <w:rsid w:val="47A36FA7"/>
    <w:rsid w:val="47B642F1"/>
    <w:rsid w:val="47C702AC"/>
    <w:rsid w:val="48054931"/>
    <w:rsid w:val="48076325"/>
    <w:rsid w:val="48A028AB"/>
    <w:rsid w:val="48CE7418"/>
    <w:rsid w:val="48D367DD"/>
    <w:rsid w:val="48ED1CCD"/>
    <w:rsid w:val="4929464F"/>
    <w:rsid w:val="492B4235"/>
    <w:rsid w:val="4933371F"/>
    <w:rsid w:val="49393CD7"/>
    <w:rsid w:val="49486249"/>
    <w:rsid w:val="49523BA5"/>
    <w:rsid w:val="495A0CAC"/>
    <w:rsid w:val="49843F7B"/>
    <w:rsid w:val="498F4DFA"/>
    <w:rsid w:val="49C5081B"/>
    <w:rsid w:val="49E54A1A"/>
    <w:rsid w:val="49EF3AEA"/>
    <w:rsid w:val="49FE5ADB"/>
    <w:rsid w:val="4A144C3C"/>
    <w:rsid w:val="4A235542"/>
    <w:rsid w:val="4A3E412A"/>
    <w:rsid w:val="4A7E6C1C"/>
    <w:rsid w:val="4AA06B93"/>
    <w:rsid w:val="4AB32D6A"/>
    <w:rsid w:val="4ABA5EA6"/>
    <w:rsid w:val="4B2C48CA"/>
    <w:rsid w:val="4B335C59"/>
    <w:rsid w:val="4BA6467C"/>
    <w:rsid w:val="4BE60F1D"/>
    <w:rsid w:val="4C2F4672"/>
    <w:rsid w:val="4C602A7D"/>
    <w:rsid w:val="4C9C2831"/>
    <w:rsid w:val="4CAC7A71"/>
    <w:rsid w:val="4CE74F4D"/>
    <w:rsid w:val="4CFB27A6"/>
    <w:rsid w:val="4D1D271C"/>
    <w:rsid w:val="4D2770F7"/>
    <w:rsid w:val="4D341814"/>
    <w:rsid w:val="4D7762D0"/>
    <w:rsid w:val="4DDC67E7"/>
    <w:rsid w:val="4E01203E"/>
    <w:rsid w:val="4E173610"/>
    <w:rsid w:val="4E1E04FA"/>
    <w:rsid w:val="4E434405"/>
    <w:rsid w:val="4E683E6B"/>
    <w:rsid w:val="4E8A2033"/>
    <w:rsid w:val="4EE07EA5"/>
    <w:rsid w:val="4F10078B"/>
    <w:rsid w:val="4F365D17"/>
    <w:rsid w:val="4F3F2E1E"/>
    <w:rsid w:val="4F806F93"/>
    <w:rsid w:val="4FAC7D88"/>
    <w:rsid w:val="4FD95020"/>
    <w:rsid w:val="4FEC63D6"/>
    <w:rsid w:val="500E459E"/>
    <w:rsid w:val="501A1195"/>
    <w:rsid w:val="501C4F0D"/>
    <w:rsid w:val="501F44E6"/>
    <w:rsid w:val="504C2DF0"/>
    <w:rsid w:val="504F0E3F"/>
    <w:rsid w:val="5052092F"/>
    <w:rsid w:val="50715259"/>
    <w:rsid w:val="50811214"/>
    <w:rsid w:val="50DC549F"/>
    <w:rsid w:val="50F1639A"/>
    <w:rsid w:val="511B3417"/>
    <w:rsid w:val="511B51C5"/>
    <w:rsid w:val="516E30EA"/>
    <w:rsid w:val="51875CD1"/>
    <w:rsid w:val="51907961"/>
    <w:rsid w:val="51BA678C"/>
    <w:rsid w:val="51D04201"/>
    <w:rsid w:val="51F85506"/>
    <w:rsid w:val="52081BED"/>
    <w:rsid w:val="520914C1"/>
    <w:rsid w:val="52236EFF"/>
    <w:rsid w:val="52350508"/>
    <w:rsid w:val="523C53F3"/>
    <w:rsid w:val="52950FA7"/>
    <w:rsid w:val="52C5188C"/>
    <w:rsid w:val="52DC2732"/>
    <w:rsid w:val="53733096"/>
    <w:rsid w:val="53F35F85"/>
    <w:rsid w:val="54482775"/>
    <w:rsid w:val="545804DE"/>
    <w:rsid w:val="547215A0"/>
    <w:rsid w:val="54C91DFE"/>
    <w:rsid w:val="54D6115C"/>
    <w:rsid w:val="54F16968"/>
    <w:rsid w:val="5522723D"/>
    <w:rsid w:val="55376345"/>
    <w:rsid w:val="55384960"/>
    <w:rsid w:val="55621614"/>
    <w:rsid w:val="55674E7D"/>
    <w:rsid w:val="557E3F74"/>
    <w:rsid w:val="559612BE"/>
    <w:rsid w:val="559B4B26"/>
    <w:rsid w:val="55A7171D"/>
    <w:rsid w:val="55B1434A"/>
    <w:rsid w:val="55BD684B"/>
    <w:rsid w:val="55BE25C3"/>
    <w:rsid w:val="55D911AB"/>
    <w:rsid w:val="55E60E8B"/>
    <w:rsid w:val="561D19DF"/>
    <w:rsid w:val="564E7DEA"/>
    <w:rsid w:val="565828B0"/>
    <w:rsid w:val="565C2507"/>
    <w:rsid w:val="5684380C"/>
    <w:rsid w:val="568B4B9B"/>
    <w:rsid w:val="569F41A2"/>
    <w:rsid w:val="56ED315F"/>
    <w:rsid w:val="570D55B0"/>
    <w:rsid w:val="571B5F1F"/>
    <w:rsid w:val="577109C8"/>
    <w:rsid w:val="57743881"/>
    <w:rsid w:val="578A30A4"/>
    <w:rsid w:val="578A54E8"/>
    <w:rsid w:val="57CF558E"/>
    <w:rsid w:val="57DE0CFA"/>
    <w:rsid w:val="57EC1669"/>
    <w:rsid w:val="57F8000E"/>
    <w:rsid w:val="58070251"/>
    <w:rsid w:val="58112E7E"/>
    <w:rsid w:val="581F559B"/>
    <w:rsid w:val="58597148"/>
    <w:rsid w:val="58690F0C"/>
    <w:rsid w:val="58E10AA2"/>
    <w:rsid w:val="58E80082"/>
    <w:rsid w:val="58F44C79"/>
    <w:rsid w:val="59011144"/>
    <w:rsid w:val="590F1AB3"/>
    <w:rsid w:val="593A6404"/>
    <w:rsid w:val="59590F80"/>
    <w:rsid w:val="595C281E"/>
    <w:rsid w:val="5991071A"/>
    <w:rsid w:val="59941FB8"/>
    <w:rsid w:val="5A0A04CC"/>
    <w:rsid w:val="5A1C186E"/>
    <w:rsid w:val="5A875D41"/>
    <w:rsid w:val="5B3D3F8A"/>
    <w:rsid w:val="5B5639C9"/>
    <w:rsid w:val="5BA65FD3"/>
    <w:rsid w:val="5BE30FD5"/>
    <w:rsid w:val="5C1D44E7"/>
    <w:rsid w:val="5C514191"/>
    <w:rsid w:val="5C6F4617"/>
    <w:rsid w:val="5C7560D1"/>
    <w:rsid w:val="5CAE513F"/>
    <w:rsid w:val="5CB70498"/>
    <w:rsid w:val="5CBA1D36"/>
    <w:rsid w:val="5CCC1A69"/>
    <w:rsid w:val="5D2E44D2"/>
    <w:rsid w:val="5D3A2E77"/>
    <w:rsid w:val="5D3E2967"/>
    <w:rsid w:val="5D3E4715"/>
    <w:rsid w:val="5D63417B"/>
    <w:rsid w:val="5D7843A7"/>
    <w:rsid w:val="5D895F33"/>
    <w:rsid w:val="5D8D11F8"/>
    <w:rsid w:val="5D8F4F70"/>
    <w:rsid w:val="5DC7295C"/>
    <w:rsid w:val="5DD46E27"/>
    <w:rsid w:val="5E005E6E"/>
    <w:rsid w:val="5E0537CF"/>
    <w:rsid w:val="5E055233"/>
    <w:rsid w:val="5E1436C8"/>
    <w:rsid w:val="5E2002BE"/>
    <w:rsid w:val="5E341674"/>
    <w:rsid w:val="5E40626B"/>
    <w:rsid w:val="5E473A9D"/>
    <w:rsid w:val="5E6A153A"/>
    <w:rsid w:val="5E8F0FA0"/>
    <w:rsid w:val="5EA762EA"/>
    <w:rsid w:val="5ED72D80"/>
    <w:rsid w:val="5EE65064"/>
    <w:rsid w:val="5F136C1A"/>
    <w:rsid w:val="5F3040F1"/>
    <w:rsid w:val="5F593A88"/>
    <w:rsid w:val="5FB80713"/>
    <w:rsid w:val="600C6FB6"/>
    <w:rsid w:val="600D03CE"/>
    <w:rsid w:val="605B3830"/>
    <w:rsid w:val="60714E01"/>
    <w:rsid w:val="609805E0"/>
    <w:rsid w:val="60A01677"/>
    <w:rsid w:val="60D34F34"/>
    <w:rsid w:val="60DF10B7"/>
    <w:rsid w:val="60E2185B"/>
    <w:rsid w:val="60E92BEA"/>
    <w:rsid w:val="60FD48E7"/>
    <w:rsid w:val="61352B95"/>
    <w:rsid w:val="613750A7"/>
    <w:rsid w:val="6138632B"/>
    <w:rsid w:val="613A51F3"/>
    <w:rsid w:val="613C540F"/>
    <w:rsid w:val="616E1341"/>
    <w:rsid w:val="61AD1E69"/>
    <w:rsid w:val="61C827FF"/>
    <w:rsid w:val="61E11B13"/>
    <w:rsid w:val="61FE26C5"/>
    <w:rsid w:val="621C0D9D"/>
    <w:rsid w:val="623954AB"/>
    <w:rsid w:val="624327CD"/>
    <w:rsid w:val="624A3B5C"/>
    <w:rsid w:val="624D71A8"/>
    <w:rsid w:val="62595B4D"/>
    <w:rsid w:val="62742987"/>
    <w:rsid w:val="628F5A13"/>
    <w:rsid w:val="62D96C8E"/>
    <w:rsid w:val="62F17263"/>
    <w:rsid w:val="62F31AFE"/>
    <w:rsid w:val="63027F93"/>
    <w:rsid w:val="631321A0"/>
    <w:rsid w:val="634C7460"/>
    <w:rsid w:val="63CE44AC"/>
    <w:rsid w:val="63E853DA"/>
    <w:rsid w:val="63FE4BFE"/>
    <w:rsid w:val="64526CF8"/>
    <w:rsid w:val="64762587"/>
    <w:rsid w:val="64A1573E"/>
    <w:rsid w:val="64A357A5"/>
    <w:rsid w:val="64BD0615"/>
    <w:rsid w:val="64D63485"/>
    <w:rsid w:val="64FB738F"/>
    <w:rsid w:val="651162CA"/>
    <w:rsid w:val="653B59DE"/>
    <w:rsid w:val="653D3504"/>
    <w:rsid w:val="654A79CF"/>
    <w:rsid w:val="65533E5D"/>
    <w:rsid w:val="655F347A"/>
    <w:rsid w:val="65AD68DC"/>
    <w:rsid w:val="65BB7CC1"/>
    <w:rsid w:val="65BF216B"/>
    <w:rsid w:val="65C14135"/>
    <w:rsid w:val="65DA0D53"/>
    <w:rsid w:val="65DA6FA5"/>
    <w:rsid w:val="65F75598"/>
    <w:rsid w:val="65FE0EE5"/>
    <w:rsid w:val="6606709F"/>
    <w:rsid w:val="665A00E6"/>
    <w:rsid w:val="66743EA3"/>
    <w:rsid w:val="66A6332B"/>
    <w:rsid w:val="66A72920"/>
    <w:rsid w:val="66C70B33"/>
    <w:rsid w:val="66CF4630"/>
    <w:rsid w:val="67423054"/>
    <w:rsid w:val="67654F94"/>
    <w:rsid w:val="676B3864"/>
    <w:rsid w:val="677A0A3F"/>
    <w:rsid w:val="678B49FB"/>
    <w:rsid w:val="679D64DC"/>
    <w:rsid w:val="67A23AF2"/>
    <w:rsid w:val="67A27F96"/>
    <w:rsid w:val="6848469A"/>
    <w:rsid w:val="689F6284"/>
    <w:rsid w:val="68AB7945"/>
    <w:rsid w:val="68B7181F"/>
    <w:rsid w:val="68C02A57"/>
    <w:rsid w:val="68F6059A"/>
    <w:rsid w:val="68FC7232"/>
    <w:rsid w:val="68FE11FC"/>
    <w:rsid w:val="69024B24"/>
    <w:rsid w:val="690B56C7"/>
    <w:rsid w:val="693764BC"/>
    <w:rsid w:val="693B41FE"/>
    <w:rsid w:val="696C085C"/>
    <w:rsid w:val="698C05B6"/>
    <w:rsid w:val="69935DE8"/>
    <w:rsid w:val="69CA10DE"/>
    <w:rsid w:val="69FA19C4"/>
    <w:rsid w:val="6A1B17E0"/>
    <w:rsid w:val="6A753740"/>
    <w:rsid w:val="6A8E65B0"/>
    <w:rsid w:val="6AA83A7F"/>
    <w:rsid w:val="6AC63F9C"/>
    <w:rsid w:val="6AE83F12"/>
    <w:rsid w:val="6AEC1C54"/>
    <w:rsid w:val="6AFB1E97"/>
    <w:rsid w:val="6B4C26F3"/>
    <w:rsid w:val="6B5477F9"/>
    <w:rsid w:val="6B607F4C"/>
    <w:rsid w:val="6B961BC0"/>
    <w:rsid w:val="6B9D4CFC"/>
    <w:rsid w:val="6BAC3191"/>
    <w:rsid w:val="6BF1329A"/>
    <w:rsid w:val="6C164AAF"/>
    <w:rsid w:val="6C184383"/>
    <w:rsid w:val="6C7C438D"/>
    <w:rsid w:val="6CD7423E"/>
    <w:rsid w:val="6D4A4A10"/>
    <w:rsid w:val="6D741A8D"/>
    <w:rsid w:val="6D77332B"/>
    <w:rsid w:val="6D793547"/>
    <w:rsid w:val="6D7D4DE5"/>
    <w:rsid w:val="6D7F6F34"/>
    <w:rsid w:val="6D88378A"/>
    <w:rsid w:val="6D9228D9"/>
    <w:rsid w:val="6DAE1443"/>
    <w:rsid w:val="6E2B56BE"/>
    <w:rsid w:val="6E647D53"/>
    <w:rsid w:val="6E697118"/>
    <w:rsid w:val="6E856363"/>
    <w:rsid w:val="6F1A6664"/>
    <w:rsid w:val="6F213E96"/>
    <w:rsid w:val="6F3E2352"/>
    <w:rsid w:val="6F651FD5"/>
    <w:rsid w:val="6F6F4C02"/>
    <w:rsid w:val="6F7915DC"/>
    <w:rsid w:val="6FC767EC"/>
    <w:rsid w:val="6FCF56A0"/>
    <w:rsid w:val="6FF60E7F"/>
    <w:rsid w:val="6FFB46E7"/>
    <w:rsid w:val="70035E4A"/>
    <w:rsid w:val="702A0B29"/>
    <w:rsid w:val="70431C3E"/>
    <w:rsid w:val="704936A5"/>
    <w:rsid w:val="704E4817"/>
    <w:rsid w:val="70567B70"/>
    <w:rsid w:val="705A140E"/>
    <w:rsid w:val="70904E30"/>
    <w:rsid w:val="70981F36"/>
    <w:rsid w:val="70DF36C1"/>
    <w:rsid w:val="70E138DD"/>
    <w:rsid w:val="70FA6D60"/>
    <w:rsid w:val="71463740"/>
    <w:rsid w:val="717921F6"/>
    <w:rsid w:val="717A163C"/>
    <w:rsid w:val="719C5A56"/>
    <w:rsid w:val="71A861A9"/>
    <w:rsid w:val="71E371E1"/>
    <w:rsid w:val="72077373"/>
    <w:rsid w:val="72842772"/>
    <w:rsid w:val="7289422C"/>
    <w:rsid w:val="72914E8F"/>
    <w:rsid w:val="72C45265"/>
    <w:rsid w:val="72D66D46"/>
    <w:rsid w:val="72E92D02"/>
    <w:rsid w:val="72F84F0E"/>
    <w:rsid w:val="73243F55"/>
    <w:rsid w:val="73530396"/>
    <w:rsid w:val="737427E7"/>
    <w:rsid w:val="73C60B68"/>
    <w:rsid w:val="73C92407"/>
    <w:rsid w:val="741E6BF6"/>
    <w:rsid w:val="74212243"/>
    <w:rsid w:val="7457466E"/>
    <w:rsid w:val="748922C2"/>
    <w:rsid w:val="7506180B"/>
    <w:rsid w:val="751B4A79"/>
    <w:rsid w:val="75846F2D"/>
    <w:rsid w:val="7590142E"/>
    <w:rsid w:val="759C6025"/>
    <w:rsid w:val="75A629FF"/>
    <w:rsid w:val="75CB06B8"/>
    <w:rsid w:val="76191423"/>
    <w:rsid w:val="7625426C"/>
    <w:rsid w:val="76432944"/>
    <w:rsid w:val="7671125F"/>
    <w:rsid w:val="768947FB"/>
    <w:rsid w:val="768C42EB"/>
    <w:rsid w:val="76AF7FDA"/>
    <w:rsid w:val="771A18F7"/>
    <w:rsid w:val="77244524"/>
    <w:rsid w:val="775F730A"/>
    <w:rsid w:val="7779695E"/>
    <w:rsid w:val="778D1F6A"/>
    <w:rsid w:val="77D71596"/>
    <w:rsid w:val="77E37F3B"/>
    <w:rsid w:val="77E51F05"/>
    <w:rsid w:val="78014865"/>
    <w:rsid w:val="782643AF"/>
    <w:rsid w:val="785901FD"/>
    <w:rsid w:val="78964FAD"/>
    <w:rsid w:val="78FD6DDA"/>
    <w:rsid w:val="790E1EA5"/>
    <w:rsid w:val="79312F28"/>
    <w:rsid w:val="793D367B"/>
    <w:rsid w:val="7947274B"/>
    <w:rsid w:val="795C7A6F"/>
    <w:rsid w:val="7967694A"/>
    <w:rsid w:val="797B42E3"/>
    <w:rsid w:val="79D51B05"/>
    <w:rsid w:val="79E409FD"/>
    <w:rsid w:val="79F75F20"/>
    <w:rsid w:val="79FE105C"/>
    <w:rsid w:val="7A100D8F"/>
    <w:rsid w:val="7A2605B3"/>
    <w:rsid w:val="7A3251AA"/>
    <w:rsid w:val="7A5C0769"/>
    <w:rsid w:val="7A653295"/>
    <w:rsid w:val="7A680BCB"/>
    <w:rsid w:val="7A684727"/>
    <w:rsid w:val="7A756E44"/>
    <w:rsid w:val="7AA65250"/>
    <w:rsid w:val="7AC676A0"/>
    <w:rsid w:val="7AF406B1"/>
    <w:rsid w:val="7B074E04"/>
    <w:rsid w:val="7B0F1047"/>
    <w:rsid w:val="7B250E34"/>
    <w:rsid w:val="7B8437E3"/>
    <w:rsid w:val="7BA06143"/>
    <w:rsid w:val="7BDD2EF3"/>
    <w:rsid w:val="7C0E12FE"/>
    <w:rsid w:val="7C413482"/>
    <w:rsid w:val="7C4B2553"/>
    <w:rsid w:val="7C92616D"/>
    <w:rsid w:val="7C9913D0"/>
    <w:rsid w:val="7CBE2D25"/>
    <w:rsid w:val="7CCC0942"/>
    <w:rsid w:val="7CDD764F"/>
    <w:rsid w:val="7CDE2C92"/>
    <w:rsid w:val="7D20753B"/>
    <w:rsid w:val="7D637428"/>
    <w:rsid w:val="7D7004C3"/>
    <w:rsid w:val="7D8B70AB"/>
    <w:rsid w:val="7D8F021D"/>
    <w:rsid w:val="7DB163E5"/>
    <w:rsid w:val="7DC73E5B"/>
    <w:rsid w:val="7DE0510C"/>
    <w:rsid w:val="7DE9584E"/>
    <w:rsid w:val="7E21356B"/>
    <w:rsid w:val="7E4B4A8C"/>
    <w:rsid w:val="7E6416AA"/>
    <w:rsid w:val="7EA50156"/>
    <w:rsid w:val="7EBC3294"/>
    <w:rsid w:val="7EC16AFC"/>
    <w:rsid w:val="7F1B7FBA"/>
    <w:rsid w:val="7F376DBE"/>
    <w:rsid w:val="7F3948E4"/>
    <w:rsid w:val="7F4D0390"/>
    <w:rsid w:val="7F5259A6"/>
    <w:rsid w:val="7F58120E"/>
    <w:rsid w:val="7F617665"/>
    <w:rsid w:val="7F6F638F"/>
    <w:rsid w:val="7F7122D0"/>
    <w:rsid w:val="7F757466"/>
    <w:rsid w:val="7FA77AA0"/>
    <w:rsid w:val="7FCE3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qFormat/>
    <w:uiPriority w:val="0"/>
    <w:pPr>
      <w:jc w:val="left"/>
    </w:pPr>
    <w:rPr>
      <w:rFonts w:ascii="Calibri" w:hAnsi="Calibri" w:eastAsia="宋体" w:cs="Times New Roman"/>
      <w:kern w:val="0"/>
      <w:sz w:val="24"/>
      <w:szCs w:val="24"/>
      <w:lang w:val="en-US" w:eastAsia="zh-CN" w:bidi="ar"/>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5">
    <w:name w:val="Body Text Indent"/>
    <w:basedOn w:val="1"/>
    <w:unhideWhenUsed/>
    <w:qFormat/>
    <w:uiPriority w:val="99"/>
    <w:pPr>
      <w:spacing w:after="120"/>
      <w:ind w:left="420" w:leftChars="200"/>
    </w:pPr>
    <w:rPr>
      <w:kern w:val="0"/>
      <w:szCs w:val="20"/>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bCs/>
    </w:rPr>
  </w:style>
  <w:style w:type="character" w:customStyle="1" w:styleId="16">
    <w:name w:val="NormalCharacter"/>
    <w:link w:val="1"/>
    <w:semiHidden/>
    <w:qFormat/>
    <w:uiPriority w:val="0"/>
    <w:rPr>
      <w:rFonts w:ascii="Calibri" w:hAnsi="Calibri" w:eastAsia="宋体" w:cs="Times New Roman"/>
      <w:kern w:val="0"/>
      <w:sz w:val="24"/>
      <w:szCs w:val="24"/>
      <w:lang w:val="en-US" w:eastAsia="zh-CN" w:bidi="ar"/>
    </w:rPr>
  </w:style>
  <w:style w:type="paragraph" w:customStyle="1" w:styleId="17">
    <w:name w:val="Body text|1"/>
    <w:basedOn w:val="1"/>
    <w:qFormat/>
    <w:uiPriority w:val="0"/>
    <w:pPr>
      <w:widowControl w:val="0"/>
      <w:shd w:val="clear" w:color="auto" w:fill="auto"/>
      <w:spacing w:line="377" w:lineRule="auto"/>
      <w:ind w:firstLine="400"/>
    </w:pPr>
    <w:rPr>
      <w:rFonts w:ascii="宋体" w:hAnsi="宋体" w:eastAsia="宋体" w:cs="宋体"/>
      <w:sz w:val="28"/>
      <w:szCs w:val="28"/>
      <w:u w:val="none"/>
      <w:shd w:val="clear" w:color="auto" w:fill="auto"/>
      <w:lang w:val="zh-TW" w:eastAsia="zh-TW" w:bidi="zh-TW"/>
    </w:rPr>
  </w:style>
  <w:style w:type="paragraph" w:customStyle="1" w:styleId="18">
    <w:name w:val="GB正文"/>
    <w:basedOn w:val="1"/>
    <w:qFormat/>
    <w:uiPriority w:val="0"/>
    <w:pPr>
      <w:spacing w:line="590" w:lineRule="exact"/>
      <w:ind w:firstLine="707" w:firstLineChars="221"/>
    </w:pPr>
    <w:rPr>
      <w:rFonts w:ascii="仿宋_GB2312" w:hAnsi="Times New Roman" w:eastAsia="仿宋_GB2312"/>
      <w:color w:val="000000"/>
      <w:spacing w:val="6"/>
      <w:sz w:val="32"/>
      <w:szCs w:val="32"/>
    </w:rPr>
  </w:style>
  <w:style w:type="paragraph" w:customStyle="1" w:styleId="19">
    <w:name w:val="黑体1"/>
    <w:basedOn w:val="1"/>
    <w:qFormat/>
    <w:uiPriority w:val="0"/>
    <w:pPr>
      <w:widowControl/>
      <w:overflowPunct w:val="0"/>
      <w:autoSpaceDE w:val="0"/>
      <w:autoSpaceDN w:val="0"/>
      <w:adjustRightInd w:val="0"/>
      <w:spacing w:line="560" w:lineRule="exact"/>
      <w:ind w:firstLine="803" w:firstLineChars="250"/>
      <w:textAlignment w:val="baseline"/>
    </w:pPr>
    <w:rPr>
      <w:rFonts w:ascii="黑体" w:hAnsi="黑体" w:eastAsia="黑体"/>
      <w:b/>
      <w:kern w:val="0"/>
      <w:sz w:val="32"/>
      <w:szCs w:val="28"/>
    </w:rPr>
  </w:style>
  <w:style w:type="paragraph" w:customStyle="1" w:styleId="20">
    <w:name w:val="闻政正文"/>
    <w:basedOn w:val="1"/>
    <w:qFormat/>
    <w:uiPriority w:val="0"/>
    <w:pPr>
      <w:spacing w:line="500" w:lineRule="exact"/>
      <w:ind w:firstLine="883" w:firstLineChars="200"/>
    </w:pPr>
    <w:rPr>
      <w:rFonts w:ascii="Times New Roman" w:hAnsi="Times New Roman" w:eastAsia="仿宋_GB2312"/>
      <w:kern w:val="0"/>
      <w:sz w:val="28"/>
      <w:szCs w:val="28"/>
    </w:rPr>
  </w:style>
  <w:style w:type="paragraph" w:customStyle="1" w:styleId="21">
    <w:name w:val="列出段落1"/>
    <w:basedOn w:val="1"/>
    <w:qFormat/>
    <w:uiPriority w:val="0"/>
    <w:pPr>
      <w:ind w:firstLine="420" w:firstLineChars="200"/>
    </w:pPr>
  </w:style>
  <w:style w:type="character" w:customStyle="1" w:styleId="22">
    <w:name w:val="font41"/>
    <w:basedOn w:val="14"/>
    <w:qFormat/>
    <w:uiPriority w:val="0"/>
    <w:rPr>
      <w:rFonts w:hint="default" w:ascii="Times New Roman" w:hAnsi="Times New Roman" w:cs="Times New Roman"/>
      <w:color w:val="000000"/>
      <w:sz w:val="22"/>
      <w:szCs w:val="22"/>
      <w:u w:val="none"/>
    </w:rPr>
  </w:style>
  <w:style w:type="character" w:customStyle="1" w:styleId="23">
    <w:name w:val="font31"/>
    <w:basedOn w:val="14"/>
    <w:qFormat/>
    <w:uiPriority w:val="0"/>
    <w:rPr>
      <w:rFonts w:hint="eastAsia" w:ascii="仿宋" w:hAnsi="仿宋" w:eastAsia="仿宋" w:cs="仿宋"/>
      <w:color w:val="000000"/>
      <w:sz w:val="22"/>
      <w:szCs w:val="22"/>
      <w:u w:val="none"/>
    </w:rPr>
  </w:style>
  <w:style w:type="paragraph" w:customStyle="1" w:styleId="24">
    <w:name w:val="（一）标"/>
    <w:basedOn w:val="1"/>
    <w:qFormat/>
    <w:uiPriority w:val="0"/>
    <w:pPr>
      <w:spacing w:line="590" w:lineRule="exact"/>
      <w:ind w:left="-143" w:leftChars="-68" w:firstLine="664" w:firstLineChars="200"/>
      <w:outlineLvl w:val="1"/>
    </w:pPr>
    <w:rPr>
      <w:rFonts w:ascii="楷体_GB2312" w:hAnsi="仿宋" w:eastAsia="楷体_GB2312"/>
      <w:color w:val="000000"/>
      <w:spacing w:val="6"/>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3574</Words>
  <Characters>3664</Characters>
  <Lines>0</Lines>
  <Paragraphs>0</Paragraphs>
  <TotalTime>53</TotalTime>
  <ScaleCrop>false</ScaleCrop>
  <LinksUpToDate>false</LinksUpToDate>
  <CharactersWithSpaces>3664</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2023-07-03T09:16:00Z</dcterms:created>
  <dc:creator>Q.</dc:creator>
  <cp:lastModifiedBy>user</cp:lastModifiedBy>
  <cp:lastPrinted>2023-07-05T09:41:00Z</cp:lastPrinted>
  <dcterms:modified xsi:type="dcterms:W3CDTF">2025-11-25T02:34:56Z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9CEE407AC8F8430BB41662328A2AEE5A_13</vt:lpwstr>
  </property>
  <property fmtid="{D5CDD505-2E9C-101B-9397-08002B2CF9AE}" pid="4" name="KSOTemplateDocerSaveRecord">
    <vt:lpwstr>eyJoZGlkIjoiMzU2YWNjYWM0ZjQzNTYwYzEyN2VlYjEyOTY5OGUxZDciLCJ1c2VySWQiOiIxNTUxMTYxNjMwIn0=</vt:lpwstr>
  </property>
</Properties>
</file>