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default" w:ascii="Times New Roman" w:hAnsi="Times New Roman" w:eastAsia="黑体" w:cs="Times New Roman"/>
          <w:b/>
          <w:bCs/>
          <w:color w:val="auto"/>
          <w:sz w:val="52"/>
          <w:szCs w:val="52"/>
          <w:highlight w:val="none"/>
          <w:lang w:val="en-US" w:eastAsia="zh-CN"/>
        </w:rPr>
      </w:pPr>
    </w:p>
    <w:p>
      <w:pPr>
        <w:jc w:val="center"/>
        <w:outlineLvl w:val="9"/>
        <w:rPr>
          <w:rFonts w:hint="default" w:ascii="Times New Roman" w:hAnsi="Times New Roman" w:eastAsia="黑体" w:cs="Times New Roman"/>
          <w:b/>
          <w:bCs/>
          <w:color w:val="auto"/>
          <w:sz w:val="52"/>
          <w:szCs w:val="52"/>
          <w:highlight w:val="none"/>
          <w:lang w:val="en-US" w:eastAsia="zh-CN"/>
        </w:rPr>
      </w:pPr>
    </w:p>
    <w:p>
      <w:pPr>
        <w:jc w:val="center"/>
        <w:outlineLvl w:val="9"/>
        <w:rPr>
          <w:rFonts w:hint="eastAsia" w:ascii="Times New Roman" w:hAnsi="Times New Roman" w:eastAsia="黑体" w:cs="黑体"/>
          <w:b/>
          <w:bCs/>
          <w:color w:val="auto"/>
          <w:sz w:val="52"/>
          <w:szCs w:val="52"/>
          <w:highlight w:val="none"/>
          <w:lang w:val="en-US" w:eastAsia="zh-CN"/>
        </w:rPr>
      </w:pPr>
      <w:bookmarkStart w:id="0" w:name="_Toc21564"/>
      <w:bookmarkStart w:id="1" w:name="_Toc2352"/>
      <w:bookmarkStart w:id="2" w:name="_Toc12215"/>
      <w:r>
        <w:rPr>
          <w:rFonts w:hint="eastAsia" w:ascii="Times New Roman" w:hAnsi="Times New Roman" w:eastAsia="黑体" w:cs="黑体"/>
          <w:b/>
          <w:bCs/>
          <w:color w:val="auto"/>
          <w:sz w:val="52"/>
          <w:szCs w:val="52"/>
          <w:highlight w:val="none"/>
          <w:lang w:val="en-US" w:eastAsia="zh-CN"/>
        </w:rPr>
        <w:t>吐鲁番市2024年度</w:t>
      </w:r>
      <w:bookmarkEnd w:id="0"/>
      <w:bookmarkEnd w:id="1"/>
      <w:bookmarkEnd w:id="2"/>
      <w:bookmarkStart w:id="3" w:name="_Toc3248"/>
    </w:p>
    <w:p>
      <w:pPr>
        <w:jc w:val="center"/>
        <w:outlineLvl w:val="9"/>
        <w:rPr>
          <w:rFonts w:hint="eastAsia" w:ascii="Times New Roman" w:hAnsi="Times New Roman" w:eastAsia="黑体" w:cs="黑体"/>
          <w:b/>
          <w:bCs/>
          <w:color w:val="auto"/>
          <w:sz w:val="52"/>
          <w:szCs w:val="52"/>
          <w:highlight w:val="none"/>
          <w:lang w:val="en-US" w:eastAsia="zh-CN"/>
        </w:rPr>
      </w:pPr>
      <w:bookmarkStart w:id="4" w:name="_Toc3894"/>
      <w:bookmarkStart w:id="5" w:name="_Toc27439"/>
      <w:r>
        <w:rPr>
          <w:rFonts w:hint="eastAsia" w:ascii="Times New Roman" w:hAnsi="Times New Roman" w:eastAsia="黑体" w:cs="黑体"/>
          <w:b/>
          <w:bCs/>
          <w:color w:val="auto"/>
          <w:sz w:val="52"/>
          <w:szCs w:val="52"/>
          <w:highlight w:val="none"/>
          <w:lang w:val="en-US" w:eastAsia="zh-CN"/>
        </w:rPr>
        <w:t>预算绩效评价报告</w:t>
      </w:r>
      <w:bookmarkEnd w:id="3"/>
      <w:bookmarkEnd w:id="4"/>
      <w:bookmarkEnd w:id="5"/>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ind w:left="2238" w:leftChars="266" w:hanging="1600" w:hangingChars="500"/>
        <w:jc w:val="left"/>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项目名称：2024年第八届中国—亚欧博览会吐鲁番市代表团活动经费</w:t>
      </w:r>
    </w:p>
    <w:p>
      <w:pPr>
        <w:ind w:firstLine="640" w:firstLineChars="200"/>
        <w:jc w:val="left"/>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项目单位：吐鲁番市商务局</w:t>
      </w:r>
    </w:p>
    <w:p>
      <w:pPr>
        <w:ind w:firstLine="640" w:firstLineChars="200"/>
        <w:jc w:val="left"/>
        <w:rPr>
          <w:rFonts w:hint="eastAsia" w:ascii="Times New Roman" w:hAnsi="Times New Roman" w:eastAsia="黑体" w:cs="黑体"/>
          <w:b w:val="0"/>
          <w:bCs w:val="0"/>
          <w:color w:val="auto"/>
          <w:sz w:val="32"/>
          <w:szCs w:val="32"/>
          <w:highlight w:val="none"/>
          <w:lang w:val="en-US" w:eastAsia="zh-CN"/>
        </w:rPr>
      </w:pPr>
      <w:r>
        <w:rPr>
          <w:rStyle w:val="15"/>
          <w:rFonts w:hint="eastAsia" w:ascii="Times New Roman" w:hAnsi="Times New Roman" w:eastAsia="黑体" w:cs="黑体"/>
          <w:b w:val="0"/>
          <w:bCs w:val="0"/>
          <w:i w:val="0"/>
          <w:caps w:val="0"/>
          <w:color w:val="auto"/>
          <w:spacing w:val="0"/>
          <w:w w:val="100"/>
          <w:kern w:val="0"/>
          <w:sz w:val="32"/>
          <w:szCs w:val="32"/>
          <w:highlight w:val="none"/>
          <w:lang w:val="en-US" w:eastAsia="zh-CN" w:bidi="en-US"/>
        </w:rPr>
        <w:t>主管部门：吐鲁番市商务局</w:t>
      </w:r>
    </w:p>
    <w:p>
      <w:pPr>
        <w:keepNext w:val="0"/>
        <w:keepLines w:val="0"/>
        <w:widowControl/>
        <w:suppressLineNumbers w:val="0"/>
        <w:ind w:firstLine="640" w:firstLineChars="200"/>
        <w:jc w:val="left"/>
        <w:rPr>
          <w:rStyle w:val="15"/>
          <w:rFonts w:hint="eastAsia" w:ascii="Times New Roman" w:hAnsi="Times New Roman" w:eastAsia="黑体" w:cs="黑体"/>
          <w:b w:val="0"/>
          <w:bCs w:val="0"/>
          <w:i w:val="0"/>
          <w:caps w:val="0"/>
          <w:color w:val="auto"/>
          <w:spacing w:val="0"/>
          <w:w w:val="100"/>
          <w:kern w:val="0"/>
          <w:sz w:val="32"/>
          <w:szCs w:val="32"/>
          <w:highlight w:val="none"/>
          <w:lang w:val="en-US" w:eastAsia="zh-CN" w:bidi="en-US"/>
        </w:rPr>
      </w:pPr>
      <w:r>
        <w:rPr>
          <w:rStyle w:val="15"/>
          <w:rFonts w:hint="eastAsia" w:ascii="Times New Roman" w:hAnsi="Times New Roman" w:eastAsia="黑体" w:cs="黑体"/>
          <w:b w:val="0"/>
          <w:bCs w:val="0"/>
          <w:i w:val="0"/>
          <w:caps w:val="0"/>
          <w:color w:val="auto"/>
          <w:spacing w:val="0"/>
          <w:w w:val="100"/>
          <w:kern w:val="0"/>
          <w:sz w:val="32"/>
          <w:szCs w:val="32"/>
          <w:highlight w:val="none"/>
          <w:lang w:val="en-US" w:eastAsia="zh-CN" w:bidi="en-US"/>
        </w:rPr>
        <w:t>委托单位：</w:t>
      </w:r>
      <w:r>
        <w:rPr>
          <w:rFonts w:hint="eastAsia" w:ascii="Times New Roman" w:hAnsi="Times New Roman" w:eastAsia="黑体" w:cs="黑体"/>
          <w:b w:val="0"/>
          <w:bCs w:val="0"/>
          <w:color w:val="000000"/>
          <w:kern w:val="0"/>
          <w:sz w:val="32"/>
          <w:szCs w:val="32"/>
          <w:lang w:val="en-US" w:eastAsia="zh-CN" w:bidi="ar"/>
        </w:rPr>
        <w:t>吐鲁番市财政局</w:t>
      </w:r>
    </w:p>
    <w:p>
      <w:pPr>
        <w:keepNext w:val="0"/>
        <w:keepLines w:val="0"/>
        <w:widowControl/>
        <w:suppressLineNumbers w:val="0"/>
        <w:ind w:firstLine="640" w:firstLineChars="200"/>
        <w:jc w:val="left"/>
        <w:rPr>
          <w:rFonts w:hint="eastAsia" w:ascii="Times New Roman" w:hAnsi="Times New Roman" w:eastAsia="黑体" w:cs="黑体"/>
          <w:b w:val="0"/>
          <w:bCs w:val="0"/>
          <w:sz w:val="32"/>
          <w:szCs w:val="32"/>
        </w:rPr>
      </w:pPr>
      <w:r>
        <w:rPr>
          <w:rFonts w:hint="eastAsia" w:ascii="Times New Roman" w:hAnsi="Times New Roman" w:eastAsia="黑体" w:cs="黑体"/>
          <w:b w:val="0"/>
          <w:bCs w:val="0"/>
          <w:color w:val="auto"/>
          <w:sz w:val="32"/>
          <w:szCs w:val="32"/>
          <w:highlight w:val="none"/>
          <w:lang w:val="en-US" w:eastAsia="zh-CN"/>
        </w:rPr>
        <w:t>评价机构：</w:t>
      </w:r>
      <w:r>
        <w:rPr>
          <w:rFonts w:hint="eastAsia" w:ascii="Times New Roman" w:hAnsi="Times New Roman" w:eastAsia="黑体" w:cs="黑体"/>
          <w:b w:val="0"/>
          <w:bCs w:val="0"/>
          <w:color w:val="000000"/>
          <w:kern w:val="0"/>
          <w:sz w:val="32"/>
          <w:szCs w:val="32"/>
          <w:lang w:val="en-US" w:eastAsia="zh-CN" w:bidi="ar"/>
        </w:rPr>
        <w:t>新疆财讯睿智信息咨询有限公司</w:t>
      </w:r>
    </w:p>
    <w:p>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p>
    <w:p>
      <w:pPr>
        <w:jc w:val="center"/>
        <w:rPr>
          <w:rFonts w:hint="default" w:ascii="Times New Roman" w:hAnsi="Times New Roman" w:eastAsia="黑体" w:cs="Times New Roman"/>
          <w:b w:val="0"/>
          <w:bCs w:val="0"/>
          <w:color w:val="auto"/>
          <w:sz w:val="32"/>
          <w:szCs w:val="32"/>
          <w:highlight w:val="none"/>
          <w:lang w:val="en-US" w:eastAsia="zh-CN"/>
        </w:rPr>
        <w:sectPr>
          <w:footerReference r:id="rId4" w:type="first"/>
          <w:headerReference r:id="rId3" w:type="default"/>
          <w:pgSz w:w="11906" w:h="16838"/>
          <w:pgMar w:top="1440" w:right="1800" w:bottom="1440" w:left="1800" w:header="1020" w:footer="992" w:gutter="0"/>
          <w:pgNumType w:fmt="decimal"/>
          <w:cols w:space="720" w:num="1"/>
          <w:titlePg/>
          <w:docGrid w:type="lines" w:linePitch="312" w:charSpace="0"/>
        </w:sectPr>
      </w:pPr>
      <w:r>
        <w:rPr>
          <w:rFonts w:hint="eastAsia" w:ascii="Times New Roman" w:hAnsi="Times New Roman" w:eastAsia="黑体" w:cs="Times New Roman"/>
          <w:b w:val="0"/>
          <w:bCs w:val="0"/>
          <w:color w:val="auto"/>
          <w:sz w:val="32"/>
          <w:szCs w:val="32"/>
          <w:highlight w:val="none"/>
          <w:lang w:val="en-US" w:eastAsia="zh-CN"/>
        </w:rPr>
        <w:t>2025</w:t>
      </w:r>
      <w:r>
        <w:rPr>
          <w:rFonts w:hint="default" w:ascii="Times New Roman" w:hAnsi="Times New Roman" w:eastAsia="黑体" w:cs="Times New Roman"/>
          <w:b w:val="0"/>
          <w:bCs w:val="0"/>
          <w:color w:val="auto"/>
          <w:sz w:val="32"/>
          <w:szCs w:val="32"/>
          <w:highlight w:val="none"/>
          <w:lang w:val="en-US" w:eastAsia="zh-CN"/>
        </w:rPr>
        <w:t>年</w:t>
      </w:r>
      <w:r>
        <w:rPr>
          <w:rFonts w:hint="eastAsia" w:ascii="Times New Roman" w:hAnsi="Times New Roman" w:eastAsia="黑体" w:cs="Times New Roman"/>
          <w:b w:val="0"/>
          <w:bCs w:val="0"/>
          <w:color w:val="auto"/>
          <w:sz w:val="32"/>
          <w:szCs w:val="32"/>
          <w:highlight w:val="none"/>
          <w:lang w:val="en-US" w:eastAsia="zh-CN"/>
        </w:rPr>
        <w:t>7</w:t>
      </w:r>
      <w:r>
        <w:rPr>
          <w:rFonts w:hint="default" w:ascii="Times New Roman" w:hAnsi="Times New Roman" w:eastAsia="黑体" w:cs="Times New Roman"/>
          <w:b w:val="0"/>
          <w:bCs w:val="0"/>
          <w:color w:val="auto"/>
          <w:sz w:val="32"/>
          <w:szCs w:val="32"/>
          <w:highlight w:val="none"/>
          <w:lang w:val="en-US" w:eastAsia="zh-CN"/>
        </w:rPr>
        <w:t>月</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en-US"/>
        </w:rPr>
      </w:pPr>
      <w:bookmarkStart w:id="6" w:name="_Toc11934"/>
      <w:bookmarkStart w:id="7" w:name="_Toc16651"/>
      <w:bookmarkStart w:id="8" w:name="_Toc21206"/>
      <w:bookmarkStart w:id="9" w:name="_Toc7524"/>
      <w:bookmarkStart w:id="10" w:name="_Toc12743"/>
      <w:bookmarkStart w:id="11" w:name="_Toc26351"/>
      <w:bookmarkStart w:id="12" w:name="_Toc5629"/>
      <w:r>
        <w:rPr>
          <w:rFonts w:hint="default" w:ascii="Times New Roman" w:hAnsi="Times New Roman" w:eastAsia="黑体" w:cs="Times New Roman"/>
          <w:b w:val="0"/>
          <w:bCs w:val="0"/>
          <w:color w:val="auto"/>
          <w:kern w:val="0"/>
          <w:sz w:val="32"/>
          <w:szCs w:val="32"/>
          <w:highlight w:val="none"/>
          <w:lang w:bidi="en-US"/>
        </w:rPr>
        <w:t>项目</w:t>
      </w:r>
      <w:r>
        <w:rPr>
          <w:rFonts w:hint="default" w:ascii="Times New Roman" w:hAnsi="Times New Roman" w:eastAsia="黑体" w:cs="Times New Roman"/>
          <w:b w:val="0"/>
          <w:bCs w:val="0"/>
          <w:color w:val="auto"/>
          <w:kern w:val="0"/>
          <w:sz w:val="32"/>
          <w:szCs w:val="32"/>
          <w:highlight w:val="none"/>
          <w:lang w:val="en-US" w:eastAsia="zh-CN" w:bidi="en-US"/>
        </w:rPr>
        <w:t>概述</w:t>
      </w:r>
      <w:bookmarkEnd w:id="6"/>
      <w:bookmarkEnd w:id="7"/>
      <w:bookmarkEnd w:id="8"/>
      <w:bookmarkEnd w:id="9"/>
      <w:bookmarkEnd w:id="10"/>
      <w:bookmarkEnd w:id="11"/>
      <w:bookmarkEnd w:id="12"/>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bookmarkStart w:id="13" w:name="_Toc3424"/>
      <w:bookmarkStart w:id="14" w:name="_Toc6541"/>
      <w:bookmarkStart w:id="15" w:name="_Toc17170"/>
      <w:bookmarkStart w:id="16" w:name="_Toc9142"/>
      <w:r>
        <w:rPr>
          <w:rFonts w:hint="default" w:ascii="Times New Roman" w:hAnsi="Times New Roman" w:eastAsia="楷体" w:cs="Times New Roman"/>
          <w:b/>
          <w:bCs/>
          <w:color w:val="auto"/>
          <w:sz w:val="32"/>
          <w:szCs w:val="32"/>
          <w:highlight w:val="none"/>
          <w:lang w:val="en-US" w:eastAsia="zh-CN"/>
        </w:rPr>
        <w:t>项目概述</w:t>
      </w:r>
      <w:bookmarkEnd w:id="13"/>
      <w:bookmarkEnd w:id="14"/>
      <w:bookmarkEnd w:id="15"/>
      <w:bookmarkEnd w:id="16"/>
    </w:p>
    <w:p>
      <w:pPr>
        <w:keepNext w:val="0"/>
        <w:keepLines w:val="0"/>
        <w:pageBreakBefore w:val="0"/>
        <w:widowControl/>
        <w:kinsoku/>
        <w:wordWrap/>
        <w:overflowPunct w:val="0"/>
        <w:topLinePunct w:val="0"/>
        <w:autoSpaceDE w:val="0"/>
        <w:autoSpaceDN w:val="0"/>
        <w:bidi w:val="0"/>
        <w:adjustRightInd w:val="0"/>
        <w:snapToGrid/>
        <w:spacing w:line="560" w:lineRule="exact"/>
        <w:ind w:firstLine="664" w:firstLineChars="200"/>
        <w:jc w:val="both"/>
        <w:textAlignment w:val="baseline"/>
        <w:outlineLvl w:val="9"/>
        <w:rPr>
          <w:rFonts w:hint="default" w:ascii="Times New Roman" w:hAnsi="Times New Roman" w:eastAsia="仿宋_GB2312" w:cs="Times New Roman"/>
          <w:color w:val="auto"/>
          <w:spacing w:val="6"/>
          <w:kern w:val="0"/>
          <w:sz w:val="32"/>
          <w:szCs w:val="32"/>
          <w:lang w:val="en-US" w:eastAsia="zh-CN" w:bidi="ar"/>
        </w:rPr>
      </w:pPr>
      <w:bookmarkStart w:id="17" w:name="_Toc18194"/>
      <w:bookmarkStart w:id="18" w:name="_Toc22517"/>
      <w:r>
        <w:rPr>
          <w:rFonts w:hint="eastAsia" w:ascii="Times New Roman" w:hAnsi="Times New Roman" w:eastAsia="仿宋_GB2312" w:cs="Times New Roman"/>
          <w:color w:val="auto"/>
          <w:spacing w:val="6"/>
          <w:kern w:val="0"/>
          <w:sz w:val="32"/>
          <w:szCs w:val="32"/>
          <w:lang w:val="en-US" w:eastAsia="zh-CN" w:bidi="ar"/>
        </w:rPr>
        <w:t>2022年9月，习近平总书记向第七届中国—亚欧博览会亲致贺信，强调“中国愿同各国一道，以中国—亚欧博览会为平台，弘扬和平合作、开放包容、互学互鉴、互利共赢的丝路精神，坚持高标准、可持续、惠民生，不断拓展亚欧合作领域，提高亚欧合作水平，促进共同繁荣发展”。这一贺信如同一盏明灯，照亮了中国与亚欧国家深化合作的前行道路，为各方在经济、文化、科技等多领域的交流与协作提供了重要指引。</w:t>
      </w:r>
      <w:r>
        <w:rPr>
          <w:rFonts w:hint="default" w:ascii="Times New Roman" w:hAnsi="Times New Roman" w:eastAsia="仿宋_GB2312" w:cs="Times New Roman"/>
          <w:color w:val="auto"/>
          <w:spacing w:val="6"/>
          <w:kern w:val="0"/>
          <w:sz w:val="32"/>
          <w:szCs w:val="32"/>
          <w:lang w:val="en-US" w:eastAsia="zh-CN" w:bidi="ar"/>
        </w:rPr>
        <w:t>中国—亚欧博览会自升级举办以来，便以其独特的魅力与重要的价值，在国际合作舞台上扮演着不可或缺的角色。作为“中国与亚欧国家开展高层外交的重要平台、多领域合作的重要渠道、推进丝绸之路经济带核心区建设的重要平台、展示新疆良好形象的重要窗口”，其作用不断增强、内涵不断丰富。从最初的经贸洽谈，逐步拓展到涵盖政治对话、文化交流、科技合作、人文互通等多个层面，每一届亚欧博览会都见证着中国与亚欧各国友好关系的深化与拓展。</w:t>
      </w:r>
      <w:bookmarkEnd w:id="17"/>
      <w:bookmarkEnd w:id="18"/>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bookmarkStart w:id="19" w:name="_Toc19642"/>
      <w:bookmarkStart w:id="20" w:name="_Toc1064"/>
      <w:bookmarkStart w:id="21" w:name="_Toc20170"/>
      <w:bookmarkStart w:id="22" w:name="_Toc16168"/>
      <w:r>
        <w:rPr>
          <w:rFonts w:hint="default" w:ascii="Times New Roman" w:hAnsi="Times New Roman" w:eastAsia="楷体" w:cs="Times New Roman"/>
          <w:b/>
          <w:bCs/>
          <w:color w:val="auto"/>
          <w:sz w:val="32"/>
          <w:szCs w:val="32"/>
          <w:highlight w:val="none"/>
          <w:lang w:val="en-US" w:eastAsia="zh-CN"/>
        </w:rPr>
        <w:t>项目实施情况</w:t>
      </w:r>
      <w:bookmarkEnd w:id="19"/>
      <w:bookmarkEnd w:id="20"/>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2024年第八届中国—亚欧博览会吐鲁番市代表团活动经费项目已完成展位的购置及搭建，助力第八届中国—亚欧博览会顺利进行。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bookmarkStart w:id="23" w:name="_Toc12360"/>
      <w:bookmarkStart w:id="24" w:name="_Toc30750"/>
      <w:bookmarkStart w:id="25" w:name="_Toc21014"/>
      <w:bookmarkStart w:id="26" w:name="_Toc32468"/>
      <w:r>
        <w:rPr>
          <w:rFonts w:hint="default" w:ascii="Times New Roman" w:hAnsi="Times New Roman" w:eastAsia="楷体" w:cs="Times New Roman"/>
          <w:b/>
          <w:bCs/>
          <w:color w:val="auto"/>
          <w:sz w:val="32"/>
          <w:szCs w:val="32"/>
          <w:highlight w:val="none"/>
          <w:lang w:val="en-US" w:eastAsia="zh-CN"/>
        </w:rPr>
        <w:t>（三）绩效目标</w:t>
      </w:r>
      <w:bookmarkEnd w:id="23"/>
      <w:bookmarkEnd w:id="24"/>
      <w:bookmarkEnd w:id="25"/>
      <w:bookmarkEnd w:id="26"/>
    </w:p>
    <w:p>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3" w:firstLineChars="200"/>
        <w:jc w:val="both"/>
        <w:textAlignment w:val="baseline"/>
        <w:outlineLvl w:val="2"/>
        <w:rPr>
          <w:rFonts w:hint="default" w:ascii="Times New Roman" w:hAnsi="Times New Roman" w:eastAsia="仿宋_GB2312" w:cs="Times New Roman"/>
          <w:b/>
          <w:bCs w:val="0"/>
          <w:color w:val="auto"/>
          <w:kern w:val="0"/>
          <w:sz w:val="32"/>
          <w:szCs w:val="32"/>
          <w:highlight w:val="none"/>
          <w:lang w:bidi="ar"/>
        </w:rPr>
      </w:pPr>
      <w:r>
        <w:rPr>
          <w:rFonts w:hint="default" w:ascii="Times New Roman" w:hAnsi="Times New Roman" w:eastAsia="仿宋_GB2312" w:cs="Times New Roman"/>
          <w:b/>
          <w:bCs w:val="0"/>
          <w:color w:val="auto"/>
          <w:kern w:val="0"/>
          <w:sz w:val="32"/>
          <w:szCs w:val="32"/>
          <w:highlight w:val="none"/>
          <w:lang w:bidi="ar"/>
        </w:rPr>
        <w:t>1.总目标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rPr>
      </w:pPr>
      <w:r>
        <w:rPr>
          <w:rFonts w:hint="eastAsia" w:ascii="Times New Roman" w:hAnsi="Times New Roman" w:eastAsia="仿宋_GB2312" w:cs="Times New Roman"/>
          <w:b w:val="0"/>
          <w:bCs w:val="0"/>
          <w:color w:val="auto"/>
          <w:sz w:val="32"/>
          <w:szCs w:val="32"/>
          <w:highlight w:val="none"/>
          <w:lang w:val="en-US" w:eastAsia="zh-CN"/>
        </w:rPr>
        <w:t>为深入贯彻吐鲁番市委“1535”工作思路，全面落实党的二十大、第三次中央新疆工作座谈会及全国第八次对口援疆工作会议精神，吐鲁番市商务局组织设计搭建展位，聚焦吐鲁番市“四大主导产业”“四大特色农业产业”以及文化旅游产业的招商引资工作，积极参与2024第八届中国—亚欧博览会，进一步强化产业援疆力度，不断提升招商引资工作质量，持续巩固并拓展我市与“长三角”地区的经贸合作与交流。积极引进“煤炭煤化工、石油天然气化工、绿色新能源、硅基新材料”四大板块产业链相关企业和项目，吸引世界500强、国内500强及知名企业等战略投资者；着力引进支撑能力强的工业项目、对地方财政贡献显著的税源项目、对解决劳动就业贡献突出的密集型产业项目，力求在招大引强方面实现新突破，力争2024年招商引资到位资金同比增长25%。</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2"/>
        <w:rPr>
          <w:rFonts w:hint="default" w:ascii="Times New Roman" w:hAnsi="Times New Roman" w:eastAsia="仿宋_GB2312" w:cs="Times New Roman"/>
          <w:b/>
          <w:bCs w:val="0"/>
          <w:color w:val="auto"/>
          <w:kern w:val="0"/>
          <w:sz w:val="32"/>
          <w:szCs w:val="32"/>
          <w:highlight w:val="none"/>
          <w:lang w:val="en-US" w:eastAsia="zh-CN" w:bidi="ar"/>
        </w:rPr>
      </w:pPr>
      <w:r>
        <w:rPr>
          <w:rFonts w:hint="eastAsia" w:ascii="Times New Roman" w:hAnsi="Times New Roman" w:eastAsia="仿宋_GB2312" w:cs="Times New Roman"/>
          <w:b/>
          <w:bCs w:val="0"/>
          <w:color w:val="auto"/>
          <w:kern w:val="0"/>
          <w:sz w:val="32"/>
          <w:szCs w:val="32"/>
          <w:highlight w:val="none"/>
          <w:lang w:val="en-US" w:eastAsia="zh-CN" w:bidi="ar"/>
        </w:rPr>
        <w:t>2.</w:t>
      </w:r>
      <w:r>
        <w:rPr>
          <w:rFonts w:hint="default" w:ascii="Times New Roman" w:hAnsi="Times New Roman" w:eastAsia="仿宋_GB2312" w:cs="Times New Roman"/>
          <w:b/>
          <w:bCs w:val="0"/>
          <w:color w:val="auto"/>
          <w:kern w:val="0"/>
          <w:sz w:val="32"/>
          <w:szCs w:val="32"/>
          <w:highlight w:val="none"/>
          <w:lang w:val="en-US" w:eastAsia="zh-CN" w:bidi="ar"/>
        </w:rPr>
        <w:t>年度绩效目标</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根据《</w:t>
      </w:r>
      <w:r>
        <w:rPr>
          <w:rFonts w:hint="eastAsia" w:ascii="Times New Roman" w:hAnsi="Times New Roman" w:eastAsia="仿宋_GB2312" w:cs="Times New Roman"/>
          <w:b w:val="0"/>
          <w:bCs/>
          <w:color w:val="auto"/>
          <w:kern w:val="0"/>
          <w:sz w:val="32"/>
          <w:szCs w:val="32"/>
          <w:highlight w:val="none"/>
          <w:lang w:val="en-US" w:eastAsia="zh-CN" w:bidi="ar"/>
        </w:rPr>
        <w:t>“</w:t>
      </w:r>
      <w:r>
        <w:rPr>
          <w:rFonts w:hint="default" w:ascii="Times New Roman" w:hAnsi="Times New Roman" w:eastAsia="仿宋_GB2312" w:cs="Times New Roman"/>
          <w:b w:val="0"/>
          <w:bCs/>
          <w:color w:val="auto"/>
          <w:kern w:val="0"/>
          <w:sz w:val="32"/>
          <w:szCs w:val="32"/>
          <w:highlight w:val="none"/>
          <w:lang w:val="en-US" w:eastAsia="zh-CN" w:bidi="ar"/>
        </w:rPr>
        <w:t>2024年第八届</w:t>
      </w:r>
      <w:r>
        <w:rPr>
          <w:rFonts w:hint="eastAsia" w:ascii="Times New Roman" w:hAnsi="Times New Roman" w:eastAsia="仿宋_GB2312" w:cs="Times New Roman"/>
          <w:b w:val="0"/>
          <w:bCs/>
          <w:color w:val="auto"/>
          <w:kern w:val="0"/>
          <w:sz w:val="32"/>
          <w:szCs w:val="32"/>
          <w:highlight w:val="none"/>
          <w:lang w:val="en-US" w:eastAsia="zh-CN" w:bidi="ar"/>
        </w:rPr>
        <w:t>中国—亚欧</w:t>
      </w:r>
      <w:r>
        <w:rPr>
          <w:rFonts w:hint="default" w:ascii="Times New Roman" w:hAnsi="Times New Roman" w:eastAsia="仿宋_GB2312" w:cs="Times New Roman"/>
          <w:b w:val="0"/>
          <w:bCs/>
          <w:color w:val="auto"/>
          <w:kern w:val="0"/>
          <w:sz w:val="32"/>
          <w:szCs w:val="32"/>
          <w:highlight w:val="none"/>
          <w:lang w:val="en-US" w:eastAsia="zh-CN" w:bidi="ar"/>
        </w:rPr>
        <w:t>博览会吐鲁番市代表团活动经费</w:t>
      </w:r>
      <w:r>
        <w:rPr>
          <w:rFonts w:hint="eastAsia" w:ascii="Times New Roman" w:hAnsi="Times New Roman" w:eastAsia="仿宋_GB2312" w:cs="Times New Roman"/>
          <w:b w:val="0"/>
          <w:bCs/>
          <w:color w:val="auto"/>
          <w:kern w:val="0"/>
          <w:sz w:val="32"/>
          <w:szCs w:val="32"/>
          <w:highlight w:val="none"/>
          <w:lang w:val="en-US" w:eastAsia="zh-CN" w:bidi="ar"/>
        </w:rPr>
        <w:t>”</w:t>
      </w:r>
      <w:r>
        <w:rPr>
          <w:rFonts w:hint="default" w:ascii="Times New Roman" w:hAnsi="Times New Roman" w:eastAsia="仿宋_GB2312" w:cs="Times New Roman"/>
          <w:b w:val="0"/>
          <w:bCs/>
          <w:color w:val="auto"/>
          <w:kern w:val="0"/>
          <w:sz w:val="32"/>
          <w:szCs w:val="32"/>
          <w:highlight w:val="none"/>
          <w:lang w:val="en-US" w:eastAsia="zh-CN" w:bidi="ar"/>
        </w:rPr>
        <w:t>项目绩效目标申报表》，本项目资金202</w:t>
      </w:r>
      <w:r>
        <w:rPr>
          <w:rFonts w:hint="eastAsia" w:ascii="Times New Roman" w:hAnsi="Times New Roman" w:eastAsia="仿宋_GB2312" w:cs="Times New Roman"/>
          <w:b w:val="0"/>
          <w:bCs/>
          <w:color w:val="auto"/>
          <w:kern w:val="0"/>
          <w:sz w:val="32"/>
          <w:szCs w:val="32"/>
          <w:highlight w:val="none"/>
          <w:lang w:val="en-US" w:eastAsia="zh-CN" w:bidi="ar"/>
        </w:rPr>
        <w:t>4</w:t>
      </w:r>
      <w:r>
        <w:rPr>
          <w:rFonts w:hint="default" w:ascii="Times New Roman" w:hAnsi="Times New Roman" w:eastAsia="仿宋_GB2312" w:cs="Times New Roman"/>
          <w:b w:val="0"/>
          <w:bCs/>
          <w:color w:val="auto"/>
          <w:kern w:val="0"/>
          <w:sz w:val="32"/>
          <w:szCs w:val="32"/>
          <w:highlight w:val="none"/>
          <w:lang w:val="en-US" w:eastAsia="zh-CN" w:bidi="ar"/>
        </w:rPr>
        <w:t>年度绩效目标如下：</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default" w:ascii="Times New Roman" w:hAnsi="Times New Roman" w:eastAsia="仿宋_GB2312" w:cs="Times New Roman"/>
          <w:b/>
          <w:bCs w:val="0"/>
          <w:color w:val="auto"/>
          <w:kern w:val="0"/>
          <w:sz w:val="22"/>
          <w:szCs w:val="22"/>
          <w:highlight w:val="none"/>
          <w:lang w:val="en-US" w:eastAsia="zh-CN" w:bidi="ar"/>
        </w:rPr>
      </w:pPr>
      <w:r>
        <w:rPr>
          <w:rFonts w:hint="default" w:ascii="Times New Roman" w:hAnsi="Times New Roman" w:eastAsia="仿宋_GB2312" w:cs="Times New Roman"/>
          <w:b/>
          <w:bCs w:val="0"/>
          <w:color w:val="auto"/>
          <w:kern w:val="0"/>
          <w:sz w:val="22"/>
          <w:szCs w:val="22"/>
          <w:highlight w:val="none"/>
          <w:lang w:val="en-US" w:eastAsia="zh-CN" w:bidi="ar"/>
        </w:rPr>
        <w:t>表1-1</w:t>
      </w:r>
      <w:r>
        <w:rPr>
          <w:rFonts w:hint="eastAsia" w:ascii="Times New Roman" w:hAnsi="Times New Roman" w:eastAsia="仿宋_GB2312" w:cs="Times New Roman"/>
          <w:b/>
          <w:bCs w:val="0"/>
          <w:color w:val="auto"/>
          <w:kern w:val="0"/>
          <w:sz w:val="22"/>
          <w:szCs w:val="22"/>
          <w:highlight w:val="none"/>
          <w:lang w:val="en-US" w:eastAsia="zh-CN" w:bidi="ar"/>
        </w:rPr>
        <w:t xml:space="preserve"> </w:t>
      </w:r>
      <w:r>
        <w:rPr>
          <w:rFonts w:hint="default" w:ascii="Times New Roman" w:hAnsi="Times New Roman" w:eastAsia="仿宋_GB2312" w:cs="Times New Roman"/>
          <w:b/>
          <w:bCs w:val="0"/>
          <w:color w:val="auto"/>
          <w:kern w:val="0"/>
          <w:sz w:val="22"/>
          <w:szCs w:val="22"/>
          <w:highlight w:val="none"/>
          <w:lang w:val="en-US" w:eastAsia="zh-CN" w:bidi="ar"/>
        </w:rPr>
        <w:t>2024年第八届</w:t>
      </w:r>
      <w:r>
        <w:rPr>
          <w:rFonts w:hint="eastAsia" w:ascii="Times New Roman" w:hAnsi="Times New Roman" w:eastAsia="仿宋_GB2312" w:cs="Times New Roman"/>
          <w:b/>
          <w:bCs w:val="0"/>
          <w:color w:val="auto"/>
          <w:kern w:val="0"/>
          <w:sz w:val="22"/>
          <w:szCs w:val="22"/>
          <w:highlight w:val="none"/>
          <w:lang w:val="en-US" w:eastAsia="zh-CN" w:bidi="ar"/>
        </w:rPr>
        <w:t>中国—亚欧</w:t>
      </w:r>
      <w:r>
        <w:rPr>
          <w:rFonts w:hint="default" w:ascii="Times New Roman" w:hAnsi="Times New Roman" w:eastAsia="仿宋_GB2312" w:cs="Times New Roman"/>
          <w:b/>
          <w:bCs w:val="0"/>
          <w:color w:val="auto"/>
          <w:kern w:val="0"/>
          <w:sz w:val="22"/>
          <w:szCs w:val="22"/>
          <w:highlight w:val="none"/>
          <w:lang w:val="en-US" w:eastAsia="zh-CN" w:bidi="ar"/>
        </w:rPr>
        <w:t>博览会吐鲁番市代表团活动经费项目绩效目标申报表</w:t>
      </w:r>
    </w:p>
    <w:tbl>
      <w:tblPr>
        <w:tblStyle w:val="12"/>
        <w:tblW w:w="83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7"/>
        <w:gridCol w:w="2644"/>
        <w:gridCol w:w="3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807" w:type="dxa"/>
            <w:tcBorders>
              <w:top w:val="single" w:color="000000" w:sz="4" w:space="0"/>
              <w:left w:val="single" w:color="000000" w:sz="4" w:space="0"/>
              <w:bottom w:val="single" w:color="auto" w:sz="4" w:space="0"/>
              <w:right w:val="single" w:color="000000" w:sz="4" w:space="0"/>
            </w:tcBorders>
            <w:shd w:val="clear" w:color="auto" w:fill="AEAAAA" w:themeFill="background2" w:themeFillShade="BF"/>
            <w:vAlign w:val="center"/>
          </w:tcPr>
          <w:p>
            <w:pPr>
              <w:keepNext w:val="0"/>
              <w:keepLines w:val="0"/>
              <w:widowControl w:val="0"/>
              <w:suppressLineNumbers w:val="0"/>
              <w:spacing w:line="560" w:lineRule="exact"/>
              <w:ind w:firstLine="0" w:firstLineChars="0"/>
              <w:jc w:val="center"/>
              <w:textAlignment w:val="center"/>
              <w:rPr>
                <w:rFonts w:hint="default" w:ascii="Times New Roman" w:hAnsi="Times New Roman" w:eastAsia="仿宋_GB2312" w:cs="Times New Roman"/>
                <w:b/>
                <w:bCs w:val="0"/>
                <w:color w:val="auto"/>
                <w:kern w:val="0"/>
                <w:sz w:val="22"/>
                <w:szCs w:val="22"/>
                <w:highlight w:val="none"/>
                <w:lang w:val="en-US" w:eastAsia="zh-CN" w:bidi="ar"/>
              </w:rPr>
            </w:pPr>
            <w:r>
              <w:rPr>
                <w:rFonts w:hint="default" w:ascii="Times New Roman" w:hAnsi="Times New Roman" w:eastAsia="仿宋_GB2312" w:cs="Times New Roman"/>
                <w:b/>
                <w:bCs w:val="0"/>
                <w:color w:val="auto"/>
                <w:kern w:val="0"/>
                <w:sz w:val="22"/>
                <w:szCs w:val="22"/>
                <w:highlight w:val="none"/>
                <w:lang w:val="en-US" w:eastAsia="zh-CN" w:bidi="ar"/>
              </w:rPr>
              <w:t>一级指标</w:t>
            </w:r>
          </w:p>
        </w:tc>
        <w:tc>
          <w:tcPr>
            <w:tcW w:w="2644" w:type="dxa"/>
            <w:tcBorders>
              <w:top w:val="single" w:color="000000" w:sz="4" w:space="0"/>
              <w:left w:val="single" w:color="000000" w:sz="4" w:space="0"/>
              <w:bottom w:val="single" w:color="auto" w:sz="4" w:space="0"/>
              <w:right w:val="single" w:color="000000" w:sz="4" w:space="0"/>
            </w:tcBorders>
            <w:shd w:val="clear" w:color="auto" w:fill="AEAAAA" w:themeFill="background2" w:themeFillShade="BF"/>
            <w:vAlign w:val="center"/>
          </w:tcPr>
          <w:p>
            <w:pPr>
              <w:keepNext w:val="0"/>
              <w:keepLines w:val="0"/>
              <w:widowControl w:val="0"/>
              <w:suppressLineNumbers w:val="0"/>
              <w:spacing w:line="560" w:lineRule="exact"/>
              <w:ind w:firstLine="0" w:firstLineChars="0"/>
              <w:jc w:val="center"/>
              <w:textAlignment w:val="center"/>
              <w:rPr>
                <w:rFonts w:hint="default" w:ascii="Times New Roman" w:hAnsi="Times New Roman" w:eastAsia="仿宋_GB2312" w:cs="Times New Roman"/>
                <w:b/>
                <w:bCs w:val="0"/>
                <w:color w:val="auto"/>
                <w:kern w:val="0"/>
                <w:sz w:val="22"/>
                <w:szCs w:val="22"/>
                <w:highlight w:val="none"/>
                <w:lang w:val="en-US" w:eastAsia="zh-CN" w:bidi="ar"/>
              </w:rPr>
            </w:pPr>
            <w:r>
              <w:rPr>
                <w:rFonts w:hint="default" w:ascii="Times New Roman" w:hAnsi="Times New Roman" w:eastAsia="仿宋_GB2312" w:cs="Times New Roman"/>
                <w:b/>
                <w:bCs w:val="0"/>
                <w:color w:val="auto"/>
                <w:kern w:val="0"/>
                <w:sz w:val="22"/>
                <w:szCs w:val="22"/>
                <w:highlight w:val="none"/>
                <w:lang w:val="en-US" w:eastAsia="zh-CN" w:bidi="ar"/>
              </w:rPr>
              <w:t>二级指标</w:t>
            </w:r>
          </w:p>
        </w:tc>
        <w:tc>
          <w:tcPr>
            <w:tcW w:w="385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val="0"/>
              <w:suppressLineNumbers w:val="0"/>
              <w:spacing w:line="560" w:lineRule="exact"/>
              <w:ind w:firstLine="0" w:firstLineChars="0"/>
              <w:jc w:val="center"/>
              <w:textAlignment w:val="center"/>
              <w:rPr>
                <w:rFonts w:hint="default" w:ascii="Times New Roman" w:hAnsi="Times New Roman" w:eastAsia="仿宋_GB2312" w:cs="Times New Roman"/>
                <w:b/>
                <w:bCs w:val="0"/>
                <w:color w:val="auto"/>
                <w:kern w:val="0"/>
                <w:sz w:val="22"/>
                <w:szCs w:val="22"/>
                <w:highlight w:val="none"/>
                <w:lang w:val="en-US" w:eastAsia="zh-CN" w:bidi="ar"/>
              </w:rPr>
            </w:pPr>
            <w:r>
              <w:rPr>
                <w:rFonts w:hint="default" w:ascii="Times New Roman" w:hAnsi="Times New Roman" w:eastAsia="仿宋_GB2312" w:cs="Times New Roman"/>
                <w:b/>
                <w:bCs w:val="0"/>
                <w:color w:val="auto"/>
                <w:kern w:val="0"/>
                <w:sz w:val="22"/>
                <w:szCs w:val="22"/>
                <w:highlight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80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default" w:ascii="Times New Roman" w:hAnsi="Times New Roman" w:eastAsia="仿宋_GB2312" w:cs="Times New Roman"/>
                <w:b w:val="0"/>
                <w:bCs/>
                <w:color w:val="auto"/>
                <w:kern w:val="0"/>
                <w:sz w:val="22"/>
                <w:szCs w:val="22"/>
                <w:highlight w:val="none"/>
                <w:lang w:val="en-US" w:eastAsia="zh-CN" w:bidi="ar"/>
              </w:rPr>
              <w:t>产出指标</w:t>
            </w:r>
          </w:p>
        </w:tc>
        <w:tc>
          <w:tcPr>
            <w:tcW w:w="264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default" w:ascii="Times New Roman" w:hAnsi="Times New Roman" w:eastAsia="仿宋_GB2312" w:cs="Times New Roman"/>
                <w:b w:val="0"/>
                <w:bCs/>
                <w:color w:val="auto"/>
                <w:kern w:val="0"/>
                <w:sz w:val="22"/>
                <w:szCs w:val="22"/>
                <w:highlight w:val="none"/>
                <w:lang w:val="en-US" w:eastAsia="zh-CN" w:bidi="ar"/>
              </w:rPr>
              <w:t>数量指标</w:t>
            </w:r>
          </w:p>
        </w:tc>
        <w:tc>
          <w:tcPr>
            <w:tcW w:w="3853"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展位面积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8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p>
        </w:tc>
        <w:tc>
          <w:tcPr>
            <w:tcW w:w="264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p>
        </w:tc>
        <w:tc>
          <w:tcPr>
            <w:tcW w:w="3853"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展位数量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8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p>
        </w:tc>
        <w:tc>
          <w:tcPr>
            <w:tcW w:w="264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p>
        </w:tc>
        <w:tc>
          <w:tcPr>
            <w:tcW w:w="3853"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车辆数量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8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p>
        </w:tc>
        <w:tc>
          <w:tcPr>
            <w:tcW w:w="264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default" w:ascii="Times New Roman" w:hAnsi="Times New Roman" w:eastAsia="仿宋_GB2312" w:cs="Times New Roman"/>
                <w:b w:val="0"/>
                <w:bCs/>
                <w:color w:val="auto"/>
                <w:kern w:val="0"/>
                <w:sz w:val="22"/>
                <w:szCs w:val="22"/>
                <w:highlight w:val="none"/>
                <w:lang w:val="en-US" w:eastAsia="zh-CN" w:bidi="ar"/>
              </w:rPr>
              <w:t>质量指标</w:t>
            </w:r>
          </w:p>
        </w:tc>
        <w:tc>
          <w:tcPr>
            <w:tcW w:w="3853"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资金使用合规率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8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p>
        </w:tc>
        <w:tc>
          <w:tcPr>
            <w:tcW w:w="264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p>
        </w:tc>
        <w:tc>
          <w:tcPr>
            <w:tcW w:w="3853"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活动按期完成率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8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p>
        </w:tc>
        <w:tc>
          <w:tcPr>
            <w:tcW w:w="2644" w:type="dxa"/>
            <w:tcBorders>
              <w:top w:val="single" w:color="auto" w:sz="4" w:space="0"/>
              <w:left w:val="single" w:color="auto" w:sz="4" w:space="0"/>
              <w:bottom w:val="single" w:color="000000"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default" w:ascii="Times New Roman" w:hAnsi="Times New Roman" w:eastAsia="仿宋_GB2312" w:cs="Times New Roman"/>
                <w:b w:val="0"/>
                <w:bCs/>
                <w:color w:val="auto"/>
                <w:kern w:val="0"/>
                <w:sz w:val="22"/>
                <w:szCs w:val="22"/>
                <w:highlight w:val="none"/>
                <w:lang w:val="en-US" w:eastAsia="zh-CN" w:bidi="ar"/>
              </w:rPr>
              <w:t>时效指标</w:t>
            </w:r>
          </w:p>
        </w:tc>
        <w:tc>
          <w:tcPr>
            <w:tcW w:w="3853"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参加活动及时率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80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成本指标</w:t>
            </w:r>
          </w:p>
        </w:tc>
        <w:tc>
          <w:tcPr>
            <w:tcW w:w="2644" w:type="dxa"/>
            <w:vMerge w:val="restart"/>
            <w:tcBorders>
              <w:top w:val="single" w:color="000000" w:sz="4" w:space="0"/>
              <w:left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经济</w:t>
            </w:r>
            <w:r>
              <w:rPr>
                <w:rFonts w:hint="default" w:ascii="Times New Roman" w:hAnsi="Times New Roman" w:eastAsia="仿宋_GB2312" w:cs="Times New Roman"/>
                <w:b w:val="0"/>
                <w:bCs/>
                <w:color w:val="auto"/>
                <w:kern w:val="0"/>
                <w:sz w:val="22"/>
                <w:szCs w:val="22"/>
                <w:highlight w:val="none"/>
                <w:lang w:val="en-US" w:eastAsia="zh-CN" w:bidi="ar"/>
              </w:rPr>
              <w:t>成本指标</w:t>
            </w:r>
          </w:p>
        </w:tc>
        <w:tc>
          <w:tcPr>
            <w:tcW w:w="3853"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展位购置费用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8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p>
        </w:tc>
        <w:tc>
          <w:tcPr>
            <w:tcW w:w="2644" w:type="dxa"/>
            <w:vMerge w:val="continue"/>
            <w:tcBorders>
              <w:left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p>
        </w:tc>
        <w:tc>
          <w:tcPr>
            <w:tcW w:w="3853"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展位设计、搭建费用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8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p>
        </w:tc>
        <w:tc>
          <w:tcPr>
            <w:tcW w:w="2644" w:type="dxa"/>
            <w:vMerge w:val="continue"/>
            <w:tcBorders>
              <w:left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p>
        </w:tc>
        <w:tc>
          <w:tcPr>
            <w:tcW w:w="3853"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人员差旅费成本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8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p>
        </w:tc>
        <w:tc>
          <w:tcPr>
            <w:tcW w:w="2644" w:type="dxa"/>
            <w:vMerge w:val="continue"/>
            <w:tcBorders>
              <w:left w:val="single" w:color="auto" w:sz="4" w:space="0"/>
              <w:bottom w:val="single" w:color="000000"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p>
        </w:tc>
        <w:tc>
          <w:tcPr>
            <w:tcW w:w="3853"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效益指标</w:t>
            </w:r>
          </w:p>
        </w:tc>
        <w:tc>
          <w:tcPr>
            <w:tcW w:w="2644" w:type="dxa"/>
            <w:tcBorders>
              <w:top w:val="single" w:color="000000"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default" w:ascii="Times New Roman" w:hAnsi="Times New Roman" w:eastAsia="仿宋_GB2312" w:cs="Times New Roman"/>
                <w:b w:val="0"/>
                <w:bCs/>
                <w:color w:val="auto"/>
                <w:kern w:val="0"/>
                <w:sz w:val="22"/>
                <w:szCs w:val="22"/>
                <w:highlight w:val="none"/>
                <w:lang w:val="en-US" w:eastAsia="zh-CN" w:bidi="ar"/>
              </w:rPr>
              <w:t>社会效益指标</w:t>
            </w:r>
          </w:p>
        </w:tc>
        <w:tc>
          <w:tcPr>
            <w:tcW w:w="3853"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扩大吐鲁番及重点产业的影响</w:t>
            </w:r>
          </w:p>
        </w:tc>
      </w:tr>
    </w:tbl>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en-US"/>
        </w:rPr>
      </w:pPr>
      <w:bookmarkStart w:id="27" w:name="_Toc13498"/>
      <w:bookmarkStart w:id="28" w:name="_Toc10828"/>
      <w:bookmarkStart w:id="29" w:name="_Toc20267"/>
      <w:bookmarkStart w:id="30" w:name="_Toc17496"/>
      <w:bookmarkStart w:id="31" w:name="_Toc13531"/>
      <w:r>
        <w:rPr>
          <w:rFonts w:hint="default" w:ascii="Times New Roman" w:hAnsi="Times New Roman" w:eastAsia="黑体" w:cs="Times New Roman"/>
          <w:b w:val="0"/>
          <w:bCs w:val="0"/>
          <w:color w:val="auto"/>
          <w:kern w:val="0"/>
          <w:sz w:val="32"/>
          <w:szCs w:val="32"/>
          <w:highlight w:val="none"/>
          <w:lang w:val="en-US" w:eastAsia="zh-CN" w:bidi="en-US"/>
        </w:rPr>
        <w:t>绩效评价情况</w:t>
      </w:r>
      <w:bookmarkEnd w:id="27"/>
      <w:bookmarkEnd w:id="28"/>
      <w:bookmarkEnd w:id="29"/>
      <w:bookmarkEnd w:id="30"/>
      <w:bookmarkEnd w:id="31"/>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bookmarkStart w:id="32" w:name="_Toc14952"/>
      <w:bookmarkStart w:id="33" w:name="_Toc17726"/>
      <w:bookmarkStart w:id="34" w:name="_Toc4131"/>
      <w:bookmarkStart w:id="35" w:name="_Toc16953"/>
      <w:r>
        <w:rPr>
          <w:rFonts w:hint="default" w:ascii="Times New Roman" w:hAnsi="Times New Roman" w:eastAsia="楷体" w:cs="Times New Roman"/>
          <w:b/>
          <w:bCs/>
          <w:color w:val="auto"/>
          <w:sz w:val="32"/>
          <w:szCs w:val="32"/>
          <w:highlight w:val="none"/>
          <w:lang w:val="en-US" w:eastAsia="zh-CN"/>
        </w:rPr>
        <w:t>（一）评价结论</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采用由评价组开发并经预算单位确认的评价指标体系及评分标准，基于项目实施单位提供的基础数据、问卷调查和访谈所获信息资料，评价组对“2024年第八届中国—亚欧博览会吐鲁番市代表团活动经费”项目进行了独立且客观的评价。</w:t>
      </w:r>
      <w:r>
        <w:rPr>
          <w:rFonts w:hint="default" w:ascii="Times New Roman" w:hAnsi="Times New Roman" w:eastAsia="仿宋_GB2312" w:cs="Times New Roman"/>
          <w:color w:val="auto"/>
          <w:kern w:val="0"/>
          <w:sz w:val="32"/>
          <w:szCs w:val="32"/>
          <w:highlight w:val="none"/>
          <w:lang w:val="en-US" w:eastAsia="zh-CN" w:bidi="ar-SA"/>
        </w:rPr>
        <w:t>最终</w:t>
      </w:r>
      <w:r>
        <w:rPr>
          <w:rFonts w:hint="eastAsia" w:ascii="Times New Roman" w:hAnsi="Times New Roman" w:eastAsia="仿宋_GB2312" w:cs="Times New Roman"/>
          <w:color w:val="auto"/>
          <w:kern w:val="0"/>
          <w:sz w:val="32"/>
          <w:szCs w:val="32"/>
          <w:highlight w:val="none"/>
          <w:lang w:val="en-US" w:eastAsia="zh-CN" w:bidi="ar-SA"/>
        </w:rPr>
        <w:t>，该项目得分</w:t>
      </w:r>
      <w:r>
        <w:rPr>
          <w:rFonts w:hint="default" w:ascii="Times New Roman" w:hAnsi="Times New Roman" w:eastAsia="仿宋_GB2312" w:cs="Times New Roman"/>
          <w:color w:val="auto"/>
          <w:kern w:val="0"/>
          <w:sz w:val="32"/>
          <w:szCs w:val="32"/>
          <w:highlight w:val="none"/>
          <w:lang w:val="en-US" w:eastAsia="zh-CN" w:bidi="ar-SA"/>
        </w:rPr>
        <w:t>9</w:t>
      </w:r>
      <w:r>
        <w:rPr>
          <w:rFonts w:hint="eastAsia" w:ascii="Times New Roman" w:hAnsi="Times New Roman" w:eastAsia="仿宋_GB2312" w:cs="Times New Roman"/>
          <w:color w:val="auto"/>
          <w:kern w:val="0"/>
          <w:sz w:val="32"/>
          <w:szCs w:val="32"/>
          <w:highlight w:val="none"/>
          <w:lang w:val="en-US" w:eastAsia="zh-CN" w:bidi="ar-SA"/>
        </w:rPr>
        <w:t>3.39</w:t>
      </w:r>
      <w:r>
        <w:rPr>
          <w:rFonts w:hint="default" w:ascii="Times New Roman" w:hAnsi="Times New Roman" w:eastAsia="仿宋_GB2312" w:cs="Times New Roman"/>
          <w:color w:val="auto"/>
          <w:kern w:val="0"/>
          <w:sz w:val="32"/>
          <w:szCs w:val="32"/>
          <w:highlight w:val="none"/>
          <w:lang w:val="en-US" w:eastAsia="zh-CN" w:bidi="ar-SA"/>
        </w:rPr>
        <w:t>分，评价等级</w:t>
      </w:r>
      <w:r>
        <w:rPr>
          <w:rFonts w:hint="eastAsia" w:ascii="Times New Roman" w:hAnsi="Times New Roman" w:eastAsia="仿宋_GB2312" w:cs="Times New Roman"/>
          <w:color w:val="auto"/>
          <w:kern w:val="0"/>
          <w:sz w:val="32"/>
          <w:szCs w:val="32"/>
          <w:highlight w:val="none"/>
          <w:lang w:val="en-US" w:eastAsia="zh-CN" w:bidi="ar-SA"/>
        </w:rPr>
        <w:t>定为“</w:t>
      </w:r>
      <w:r>
        <w:rPr>
          <w:rFonts w:hint="default" w:ascii="Times New Roman" w:hAnsi="Times New Roman" w:eastAsia="仿宋_GB2312" w:cs="Times New Roman"/>
          <w:color w:val="auto"/>
          <w:kern w:val="0"/>
          <w:sz w:val="32"/>
          <w:szCs w:val="32"/>
          <w:highlight w:val="none"/>
          <w:lang w:val="en-US" w:eastAsia="zh-CN" w:bidi="ar-SA"/>
        </w:rPr>
        <w:t>优</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bookmarkStart w:id="36" w:name="_Toc22209"/>
      <w:bookmarkStart w:id="37" w:name="_Toc2826"/>
      <w:bookmarkStart w:id="38" w:name="_Toc8796"/>
      <w:bookmarkStart w:id="39" w:name="_Toc30019"/>
      <w:r>
        <w:rPr>
          <w:rFonts w:hint="default" w:ascii="Times New Roman" w:hAnsi="Times New Roman" w:eastAsia="楷体" w:cs="Times New Roman"/>
          <w:b/>
          <w:bCs/>
          <w:color w:val="auto"/>
          <w:sz w:val="32"/>
          <w:szCs w:val="32"/>
          <w:highlight w:val="none"/>
          <w:lang w:val="en-US" w:eastAsia="zh-CN"/>
        </w:rPr>
        <w:t>（二）预算执行情况</w:t>
      </w:r>
      <w:bookmarkEnd w:id="36"/>
      <w:bookmarkEnd w:id="37"/>
      <w:bookmarkEnd w:id="38"/>
      <w:bookmarkEnd w:id="39"/>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bidi="ar-SA"/>
        </w:rPr>
        <w:t>“2024年第八届中国—亚欧博览会吐鲁番市代表团活动经费”项目资金来源为一般公共预算。截至2024年12月31日，该专项资金执行率100%。</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bookmarkStart w:id="40" w:name="_Toc4794"/>
      <w:bookmarkStart w:id="41" w:name="_Toc24555"/>
      <w:bookmarkStart w:id="42" w:name="_Toc25582"/>
      <w:bookmarkStart w:id="43" w:name="_Toc25984"/>
      <w:r>
        <w:rPr>
          <w:rFonts w:hint="default" w:ascii="Times New Roman" w:hAnsi="Times New Roman" w:eastAsia="楷体" w:cs="Times New Roman"/>
          <w:b/>
          <w:bCs/>
          <w:color w:val="auto"/>
          <w:sz w:val="32"/>
          <w:szCs w:val="32"/>
          <w:highlight w:val="none"/>
          <w:lang w:val="en-US" w:eastAsia="zh-CN"/>
        </w:rPr>
        <w:t>（三）项目绩效情况</w:t>
      </w:r>
      <w:bookmarkEnd w:id="40"/>
      <w:bookmarkEnd w:id="41"/>
      <w:bookmarkEnd w:id="42"/>
      <w:bookmarkEnd w:id="43"/>
    </w:p>
    <w:p>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第八届</w:t>
      </w:r>
      <w:r>
        <w:rPr>
          <w:rFonts w:hint="eastAsia" w:ascii="Times New Roman" w:hAnsi="Times New Roman" w:eastAsia="仿宋_GB2312" w:cs="Times New Roman"/>
          <w:b w:val="0"/>
          <w:bCs w:val="0"/>
          <w:color w:val="auto"/>
          <w:sz w:val="32"/>
          <w:szCs w:val="32"/>
          <w:highlight w:val="none"/>
          <w:lang w:val="en-US" w:eastAsia="zh-CN"/>
        </w:rPr>
        <w:t>中国—亚欧</w:t>
      </w:r>
      <w:r>
        <w:rPr>
          <w:rFonts w:hint="default" w:ascii="Times New Roman" w:hAnsi="Times New Roman" w:eastAsia="仿宋_GB2312" w:cs="Times New Roman"/>
          <w:b w:val="0"/>
          <w:bCs w:val="0"/>
          <w:color w:val="auto"/>
          <w:sz w:val="32"/>
          <w:szCs w:val="32"/>
          <w:highlight w:val="none"/>
          <w:lang w:val="en-US" w:eastAsia="zh-CN"/>
        </w:rPr>
        <w:t>博览会以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丝路新机遇</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bidi="zh-TW"/>
        </w:rPr>
        <w:t>，</w:t>
      </w:r>
      <w:r>
        <w:rPr>
          <w:rFonts w:hint="default" w:ascii="Times New Roman" w:hAnsi="Times New Roman" w:eastAsia="仿宋_GB2312" w:cs="Times New Roman"/>
          <w:b w:val="0"/>
          <w:bCs w:val="0"/>
          <w:color w:val="auto"/>
          <w:sz w:val="32"/>
          <w:szCs w:val="32"/>
          <w:highlight w:val="none"/>
          <w:lang w:val="en-US" w:eastAsia="zh-CN"/>
        </w:rPr>
        <w:t>亚欧新活力</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为主题</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共吸引50个国家、地区和国际组织</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国内30个省</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自治区、直辖市</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37家世界500强和</w:t>
      </w:r>
      <w:r>
        <w:rPr>
          <w:rFonts w:hint="eastAsia" w:ascii="Times New Roman" w:hAnsi="Times New Roman" w:eastAsia="仿宋_GB2312" w:cs="Times New Roman"/>
          <w:b w:val="0"/>
          <w:bCs w:val="0"/>
          <w:color w:val="auto"/>
          <w:sz w:val="32"/>
          <w:szCs w:val="32"/>
          <w:highlight w:val="none"/>
          <w:lang w:val="en-US" w:eastAsia="zh-CN"/>
        </w:rPr>
        <w:t>中国</w:t>
      </w:r>
      <w:r>
        <w:rPr>
          <w:rFonts w:hint="default" w:ascii="Times New Roman" w:hAnsi="Times New Roman" w:eastAsia="仿宋_GB2312" w:cs="Times New Roman"/>
          <w:b w:val="0"/>
          <w:bCs w:val="0"/>
          <w:color w:val="auto"/>
          <w:sz w:val="32"/>
          <w:szCs w:val="32"/>
          <w:highlight w:val="none"/>
          <w:lang w:val="en-US" w:eastAsia="zh-CN"/>
        </w:rPr>
        <w:t>500强企业参展</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呈现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一位难求</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的局面。在市委、市政府的统筹领导下</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吐鲁番市形象馆全面展示</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1535</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工作思路实施以来吐鲁番市取得的发展成果</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组织全市30余家企业</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60余种吐鲁番名优特产品进行展览展示</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受到来访客商的青睐</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签订招商引资投资项目16个</w:t>
      </w:r>
      <w:r>
        <w:rPr>
          <w:rFonts w:hint="eastAsia" w:ascii="Times New Roman" w:hAnsi="Times New Roman" w:eastAsia="仿宋_GB2312" w:cs="Times New Roman"/>
          <w:b w:val="0"/>
          <w:bCs w:val="0"/>
          <w:color w:val="auto"/>
          <w:sz w:val="32"/>
          <w:szCs w:val="32"/>
          <w:highlight w:val="none"/>
          <w:lang w:val="en-US" w:eastAsia="zh-CN"/>
        </w:rPr>
        <w:t>，后根据现场访谈确认落地项目14个。</w:t>
      </w:r>
      <w:bookmarkStart w:id="59" w:name="_GoBack"/>
      <w:bookmarkEnd w:id="59"/>
      <w:r>
        <w:rPr>
          <w:rFonts w:hint="default" w:ascii="Times New Roman" w:hAnsi="Times New Roman" w:eastAsia="仿宋_GB2312" w:cs="Times New Roman"/>
          <w:b w:val="0"/>
          <w:bCs w:val="0"/>
          <w:color w:val="auto"/>
          <w:sz w:val="32"/>
          <w:szCs w:val="32"/>
          <w:highlight w:val="none"/>
          <w:lang w:val="en-US" w:eastAsia="zh-CN"/>
        </w:rPr>
        <w:t>参展取得了丰硕的成果</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达到了预期效果</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en-US"/>
        </w:rPr>
      </w:pPr>
      <w:bookmarkStart w:id="44" w:name="_Toc14617"/>
      <w:bookmarkStart w:id="45" w:name="_Toc9159"/>
      <w:bookmarkStart w:id="46" w:name="_Toc26310"/>
      <w:bookmarkStart w:id="47" w:name="_Toc20440"/>
      <w:bookmarkStart w:id="48" w:name="_Toc23421"/>
      <w:r>
        <w:rPr>
          <w:rFonts w:hint="default" w:ascii="Times New Roman" w:hAnsi="Times New Roman" w:eastAsia="黑体" w:cs="Times New Roman"/>
          <w:b w:val="0"/>
          <w:bCs w:val="0"/>
          <w:color w:val="auto"/>
          <w:kern w:val="0"/>
          <w:sz w:val="32"/>
          <w:szCs w:val="32"/>
          <w:highlight w:val="none"/>
          <w:lang w:val="en-US" w:eastAsia="zh-CN" w:bidi="en-US"/>
        </w:rPr>
        <w:t>经验、问题和建议</w:t>
      </w:r>
      <w:bookmarkEnd w:id="44"/>
      <w:bookmarkEnd w:id="45"/>
      <w:bookmarkEnd w:id="46"/>
      <w:bookmarkEnd w:id="47"/>
      <w:bookmarkEnd w:id="48"/>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楷体" w:cs="Times New Roman"/>
          <w:b/>
          <w:bCs/>
          <w:color w:val="auto"/>
          <w:kern w:val="0"/>
          <w:sz w:val="32"/>
          <w:szCs w:val="32"/>
          <w:highlight w:val="none"/>
          <w:lang w:val="en-US" w:eastAsia="zh-CN" w:bidi="en-US"/>
        </w:rPr>
      </w:pPr>
      <w:bookmarkStart w:id="49" w:name="_Toc1124"/>
      <w:bookmarkStart w:id="50" w:name="_Toc29463"/>
      <w:bookmarkStart w:id="51" w:name="_Toc25483"/>
      <w:bookmarkStart w:id="52" w:name="_Toc20526"/>
      <w:r>
        <w:rPr>
          <w:rFonts w:hint="default" w:ascii="Times New Roman" w:hAnsi="Times New Roman" w:eastAsia="楷体" w:cs="Times New Roman"/>
          <w:b/>
          <w:bCs/>
          <w:color w:val="auto"/>
          <w:kern w:val="0"/>
          <w:sz w:val="32"/>
          <w:szCs w:val="32"/>
          <w:highlight w:val="none"/>
          <w:lang w:val="en-US" w:eastAsia="zh-CN" w:bidi="en-US"/>
        </w:rPr>
        <w:t>（一）主要经验及做法</w:t>
      </w:r>
      <w:bookmarkEnd w:id="49"/>
      <w:bookmarkEnd w:id="50"/>
      <w:bookmarkEnd w:id="51"/>
      <w:bookmarkEnd w:id="52"/>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imes New Roman"/>
          <w:b w:val="0"/>
          <w:bCs w:val="0"/>
          <w:color w:val="auto"/>
          <w:kern w:val="0"/>
          <w:sz w:val="32"/>
          <w:szCs w:val="32"/>
          <w:highlight w:val="none"/>
          <w:u w:val="none"/>
          <w:shd w:val="clear"/>
          <w:lang w:val="en-US" w:eastAsia="zh-CN" w:bidi="ar"/>
        </w:rPr>
      </w:pPr>
      <w:r>
        <w:rPr>
          <w:rFonts w:hint="eastAsia" w:ascii="Times New Roman" w:hAnsi="Times New Roman" w:eastAsia="仿宋_GB2312" w:cs="Times New Roman"/>
          <w:b w:val="0"/>
          <w:bCs w:val="0"/>
          <w:color w:val="auto"/>
          <w:kern w:val="0"/>
          <w:sz w:val="32"/>
          <w:szCs w:val="32"/>
          <w:highlight w:val="none"/>
          <w:u w:val="none"/>
          <w:shd w:val="clear"/>
          <w:lang w:val="en-US" w:eastAsia="zh-CN" w:bidi="ar"/>
        </w:rPr>
        <w:t>通过精心策划与形象展示，吐鲁番市商务局主要开展了以下三方面工作：首先，通过政采云与北京博维创典展示设计有限公司签订展位设计搭建制作协议，全力打造吐鲁番市的形象展示宣传。吐鲁番市形象展位位于会展中心6号馆，占地面积150平方米。整个展台紧密围绕吐鲁番市“1535”工作总体思路，以“一梦千年丝绸路，一见如故吐鲁番”为主题，涵盖七大产业集群、18条产业链、工业四大主导产业、农业四大特色产业、投资优势及文化旅游等多个板块，并巧妙融合多媒体和高科技（声光电）手段进行全方位展示。</w:t>
      </w:r>
    </w:p>
    <w:p>
      <w:pPr>
        <w:pStyle w:val="16"/>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u w:val="none"/>
          <w:shd w:val="clear"/>
          <w:lang w:val="en-US" w:eastAsia="zh-CN" w:bidi="ar"/>
        </w:rPr>
      </w:pPr>
      <w:r>
        <w:rPr>
          <w:rFonts w:hint="eastAsia" w:ascii="Times New Roman" w:hAnsi="Times New Roman" w:eastAsia="仿宋_GB2312" w:cs="Times New Roman"/>
          <w:b w:val="0"/>
          <w:bCs w:val="0"/>
          <w:color w:val="auto"/>
          <w:kern w:val="0"/>
          <w:sz w:val="32"/>
          <w:szCs w:val="32"/>
          <w:highlight w:val="none"/>
          <w:u w:val="none"/>
          <w:shd w:val="clear"/>
          <w:lang w:val="en-US" w:eastAsia="zh-CN" w:bidi="ar"/>
        </w:rPr>
        <w:t>其次，现场搭建时间紧迫且任务繁重，必须严格把控进度并妥善应对风险。为此，吐鲁番市商务局制定了详尽的施工时间表，每日核对进度情况，并预留</w:t>
      </w:r>
      <w:r>
        <w:rPr>
          <w:rFonts w:hint="eastAsia" w:ascii="Times New Roman" w:hAnsi="Times New Roman" w:cs="Times New Roman"/>
          <w:b w:val="0"/>
          <w:bCs w:val="0"/>
          <w:color w:val="auto"/>
          <w:kern w:val="0"/>
          <w:sz w:val="32"/>
          <w:szCs w:val="32"/>
          <w:highlight w:val="none"/>
          <w:u w:val="none"/>
          <w:shd w:val="clear"/>
          <w:lang w:val="en-US" w:eastAsia="zh-CN" w:bidi="ar"/>
        </w:rPr>
        <w:t>1至2天</w:t>
      </w:r>
      <w:r>
        <w:rPr>
          <w:rFonts w:hint="eastAsia" w:ascii="Times New Roman" w:hAnsi="Times New Roman" w:eastAsia="仿宋_GB2312" w:cs="Times New Roman"/>
          <w:b w:val="0"/>
          <w:bCs w:val="0"/>
          <w:color w:val="auto"/>
          <w:kern w:val="0"/>
          <w:sz w:val="32"/>
          <w:szCs w:val="32"/>
          <w:highlight w:val="none"/>
          <w:u w:val="none"/>
          <w:shd w:val="clear"/>
          <w:lang w:val="en-US" w:eastAsia="zh-CN" w:bidi="ar"/>
        </w:rPr>
        <w:t>的缓冲期以应对突发状况。同时，做好充分的应急准备，提前备齐备用材料和工具，以应对临时修补的需求。此外，安排专人负责现场协调工作，与组委会及相邻展位保持密切沟通，及时化解场地冲突问题。</w:t>
      </w:r>
    </w:p>
    <w:p>
      <w:pPr>
        <w:pStyle w:val="17"/>
        <w:keepNext w:val="0"/>
        <w:keepLines w:val="0"/>
        <w:pageBreakBefore w:val="0"/>
        <w:widowControl w:val="0"/>
        <w:kinsoku/>
        <w:wordWrap/>
        <w:overflowPunct/>
        <w:topLinePunct w:val="0"/>
        <w:autoSpaceDE/>
        <w:autoSpaceDN/>
        <w:bidi w:val="0"/>
        <w:adjustRightInd/>
        <w:snapToGrid/>
        <w:spacing w:line="560" w:lineRule="exact"/>
        <w:ind w:firstLine="733" w:firstLineChars="221"/>
        <w:jc w:val="both"/>
        <w:textAlignment w:val="auto"/>
        <w:outlineLvl w:val="9"/>
        <w:rPr>
          <w:rFonts w:hint="eastAsia" w:ascii="Times New Roman" w:hAnsi="Times New Roman" w:eastAsia="仿宋_GB2312" w:cs="Times New Roman"/>
          <w:b w:val="0"/>
          <w:bCs w:val="0"/>
          <w:color w:val="auto"/>
          <w:kern w:val="0"/>
          <w:sz w:val="32"/>
          <w:szCs w:val="32"/>
          <w:highlight w:val="none"/>
          <w:u w:val="none"/>
          <w:shd w:val="clear"/>
          <w:lang w:val="en-US" w:eastAsia="zh-CN" w:bidi="ar"/>
        </w:rPr>
      </w:pPr>
      <w:bookmarkStart w:id="53" w:name="_Toc24135"/>
      <w:bookmarkStart w:id="54" w:name="_Toc21808"/>
      <w:r>
        <w:rPr>
          <w:rFonts w:hint="eastAsia" w:ascii="Times New Roman" w:hAnsi="Times New Roman" w:eastAsia="仿宋_GB2312" w:cs="Times New Roman"/>
          <w:b w:val="0"/>
          <w:bCs w:val="0"/>
          <w:color w:val="auto"/>
          <w:kern w:val="0"/>
          <w:sz w:val="32"/>
          <w:szCs w:val="32"/>
          <w:highlight w:val="none"/>
          <w:u w:val="none"/>
          <w:shd w:val="clear"/>
          <w:lang w:val="en-US" w:eastAsia="zh-CN" w:bidi="ar"/>
        </w:rPr>
        <w:t>最后，确保施工过程中有专人进行严格监督，细致检查电路系统及结构稳定性，使其符合消防和承重要求；在展位设计搭建的验收环节，充分考虑展会的国际化特性、相关安全规范以及实际使用需求，确保展位不仅合规、安全，且能够有效达成参展目标。</w:t>
      </w:r>
      <w:bookmarkEnd w:id="53"/>
      <w:bookmarkEnd w:id="54"/>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Times New Roman" w:hAnsi="Times New Roman" w:eastAsia="仿宋_GB2312" w:cs="Times New Roman"/>
          <w:b w:val="0"/>
          <w:bCs/>
          <w:color w:val="auto"/>
          <w:kern w:val="0"/>
          <w:sz w:val="32"/>
          <w:szCs w:val="32"/>
          <w:highlight w:val="none"/>
          <w:lang w:val="en-US" w:eastAsia="zh-CN"/>
        </w:rPr>
      </w:pPr>
      <w:r>
        <w:rPr>
          <w:rFonts w:hint="eastAsia" w:ascii="Times New Roman" w:hAnsi="Times New Roman" w:eastAsia="楷体" w:cs="Times New Roman"/>
          <w:b/>
          <w:bCs/>
          <w:color w:val="auto"/>
          <w:kern w:val="0"/>
          <w:sz w:val="32"/>
          <w:szCs w:val="32"/>
          <w:highlight w:val="none"/>
          <w:lang w:val="en-US" w:eastAsia="zh-CN" w:bidi="en-US"/>
        </w:rPr>
        <w:t>（二）</w:t>
      </w:r>
      <w:r>
        <w:rPr>
          <w:rFonts w:hint="default" w:ascii="Times New Roman" w:hAnsi="Times New Roman" w:eastAsia="楷体" w:cs="Times New Roman"/>
          <w:b/>
          <w:bCs/>
          <w:color w:val="auto"/>
          <w:kern w:val="0"/>
          <w:sz w:val="32"/>
          <w:szCs w:val="32"/>
          <w:highlight w:val="none"/>
          <w:lang w:val="en-US" w:eastAsia="zh-CN" w:bidi="en-US"/>
        </w:rPr>
        <w:t>存在问题与不足</w:t>
      </w:r>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val="0"/>
          <w:color w:val="auto"/>
          <w:kern w:val="0"/>
          <w:sz w:val="32"/>
          <w:szCs w:val="32"/>
          <w:highlight w:val="none"/>
          <w:lang w:val="en-US" w:eastAsia="zh-CN"/>
        </w:rPr>
      </w:pPr>
      <w:r>
        <w:rPr>
          <w:rFonts w:hint="eastAsia" w:ascii="Times New Roman" w:hAnsi="Times New Roman" w:eastAsia="仿宋_GB2312" w:cs="Times New Roman"/>
          <w:b/>
          <w:bCs w:val="0"/>
          <w:color w:val="auto"/>
          <w:kern w:val="0"/>
          <w:sz w:val="32"/>
          <w:szCs w:val="32"/>
          <w:highlight w:val="none"/>
          <w:lang w:val="en-US" w:eastAsia="zh-CN"/>
        </w:rPr>
        <w:t>1.绩效目标申报环节规范性与细致度有待提高</w:t>
      </w:r>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rPr>
      </w:pPr>
      <w:r>
        <w:rPr>
          <w:rFonts w:hint="eastAsia" w:ascii="Times New Roman" w:hAnsi="Times New Roman" w:eastAsia="仿宋_GB2312" w:cs="Times New Roman"/>
          <w:b w:val="0"/>
          <w:bCs/>
          <w:color w:val="auto"/>
          <w:kern w:val="0"/>
          <w:sz w:val="32"/>
          <w:szCs w:val="32"/>
          <w:highlight w:val="none"/>
          <w:lang w:val="en-US" w:eastAsia="zh-CN"/>
        </w:rPr>
        <w:t>三级指标命名精准度欠缺，导致执行过程与预设目标出现偏差。部分数量指标存在“名称与实际需求错位”的问题，其根源在于对工作目标核心要素的界定不够清晰。例如三级指标“展位面积”“展位数量”未能准确反映具体工作内容，无法区分是新增还是改造，“车辆数量”是购置、维修维护还是办理车辆通行证数量；“活动按期完成率”应为时效指标，在申报时录入为质量指标，且存在受益对象，未设置满意度指标。</w:t>
      </w:r>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val="0"/>
          <w:color w:val="auto"/>
          <w:kern w:val="0"/>
          <w:sz w:val="32"/>
          <w:szCs w:val="32"/>
          <w:highlight w:val="none"/>
          <w:lang w:val="en-US" w:eastAsia="zh-CN"/>
        </w:rPr>
      </w:pPr>
      <w:r>
        <w:rPr>
          <w:rFonts w:hint="eastAsia" w:ascii="Times New Roman" w:hAnsi="Times New Roman" w:eastAsia="仿宋_GB2312" w:cs="Times New Roman"/>
          <w:b/>
          <w:bCs w:val="0"/>
          <w:color w:val="auto"/>
          <w:kern w:val="0"/>
          <w:sz w:val="32"/>
          <w:szCs w:val="32"/>
          <w:highlight w:val="none"/>
          <w:lang w:val="en-US" w:eastAsia="zh-CN"/>
        </w:rPr>
        <w:t>2.项目验收规范性尚需加强</w:t>
      </w:r>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Times New Roman" w:hAnsi="Times New Roman" w:eastAsia="仿宋_GB2312" w:cs="Times New Roman"/>
          <w:b w:val="0"/>
          <w:bCs/>
          <w:color w:val="auto"/>
          <w:kern w:val="0"/>
          <w:sz w:val="32"/>
          <w:szCs w:val="32"/>
          <w:highlight w:val="none"/>
          <w:lang w:val="en-US" w:eastAsia="zh-CN"/>
        </w:rPr>
      </w:pPr>
      <w:r>
        <w:rPr>
          <w:rFonts w:hint="eastAsia" w:ascii="Times New Roman" w:hAnsi="Times New Roman" w:eastAsia="仿宋_GB2312" w:cs="Times New Roman"/>
          <w:b w:val="0"/>
          <w:bCs/>
          <w:color w:val="auto"/>
          <w:kern w:val="0"/>
          <w:sz w:val="32"/>
          <w:szCs w:val="32"/>
          <w:highlight w:val="none"/>
          <w:lang w:val="en-US" w:eastAsia="zh-CN"/>
        </w:rPr>
        <w:t>验收过程的严谨性不足，存在细节疏漏风险。突出问题表现为：验收标准未提前书面明确，过度依赖主观判断，且具体参数缺乏清晰界定，导致验收的客观性与规范性受到影响。需慎重制定标准；经评价组核查发现，展台搭建验收报告缺失验收内容及日期，项目验收规范性不足。</w:t>
      </w:r>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楷体" w:cs="Times New Roman"/>
          <w:b/>
          <w:bCs/>
          <w:color w:val="auto"/>
          <w:kern w:val="0"/>
          <w:sz w:val="32"/>
          <w:szCs w:val="32"/>
          <w:highlight w:val="none"/>
          <w:lang w:val="en-US" w:eastAsia="zh-CN" w:bidi="en-US"/>
        </w:rPr>
      </w:pPr>
      <w:r>
        <w:rPr>
          <w:rFonts w:hint="eastAsia" w:ascii="Times New Roman" w:hAnsi="Times New Roman" w:eastAsia="楷体" w:cs="Times New Roman"/>
          <w:b/>
          <w:bCs/>
          <w:color w:val="auto"/>
          <w:kern w:val="0"/>
          <w:sz w:val="32"/>
          <w:szCs w:val="32"/>
          <w:highlight w:val="none"/>
          <w:lang w:val="en-US" w:eastAsia="zh-CN" w:bidi="en-US"/>
        </w:rPr>
        <w:t>（三）</w:t>
      </w:r>
      <w:r>
        <w:rPr>
          <w:rFonts w:hint="default" w:ascii="Times New Roman" w:hAnsi="Times New Roman" w:eastAsia="楷体" w:cs="Times New Roman"/>
          <w:b/>
          <w:bCs/>
          <w:color w:val="auto"/>
          <w:kern w:val="0"/>
          <w:sz w:val="32"/>
          <w:szCs w:val="32"/>
          <w:highlight w:val="none"/>
          <w:lang w:val="en-US" w:eastAsia="zh-CN" w:bidi="en-US"/>
        </w:rPr>
        <w:t>建议和改进措施</w:t>
      </w:r>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val="0"/>
          <w:color w:val="auto"/>
          <w:kern w:val="0"/>
          <w:sz w:val="32"/>
          <w:szCs w:val="32"/>
          <w:highlight w:val="none"/>
          <w:u w:val="none"/>
          <w:shd w:val="clear" w:color="auto" w:fill="auto"/>
          <w:lang w:val="en-US" w:eastAsia="zh-CN" w:bidi="zh-TW"/>
        </w:rPr>
      </w:pPr>
      <w:r>
        <w:rPr>
          <w:rFonts w:hint="eastAsia" w:ascii="Times New Roman" w:hAnsi="Times New Roman" w:eastAsia="仿宋_GB2312" w:cs="Times New Roman"/>
          <w:b/>
          <w:bCs w:val="0"/>
          <w:color w:val="auto"/>
          <w:kern w:val="0"/>
          <w:sz w:val="32"/>
          <w:szCs w:val="32"/>
          <w:highlight w:val="none"/>
          <w:u w:val="none"/>
          <w:shd w:val="clear" w:color="auto" w:fill="auto"/>
          <w:lang w:val="en-US" w:eastAsia="zh-CN" w:bidi="zh-TW"/>
        </w:rPr>
        <w:t>1.加强绩效目标申报工作</w:t>
      </w:r>
      <w:bookmarkStart w:id="55" w:name="_Toc29648"/>
      <w:bookmarkStart w:id="56" w:name="_Toc23426"/>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color w:val="auto"/>
          <w:kern w:val="0"/>
          <w:sz w:val="32"/>
          <w:szCs w:val="32"/>
          <w:highlight w:val="none"/>
          <w:lang w:val="en-US" w:eastAsia="zh-CN"/>
        </w:rPr>
      </w:pPr>
      <w:r>
        <w:rPr>
          <w:rFonts w:hint="eastAsia" w:ascii="Times New Roman" w:hAnsi="Times New Roman" w:eastAsia="仿宋_GB2312" w:cs="Times New Roman"/>
          <w:b w:val="0"/>
          <w:bCs/>
          <w:color w:val="auto"/>
          <w:kern w:val="0"/>
          <w:sz w:val="32"/>
          <w:szCs w:val="32"/>
          <w:highlight w:val="none"/>
          <w:u w:val="none"/>
          <w:shd w:val="clear" w:color="auto" w:fill="auto"/>
          <w:lang w:val="en-US" w:eastAsia="zh-CN" w:bidi="zh-TW"/>
        </w:rPr>
        <w:t>项目单位在编制绩效目标表时，应明确指标的“动作指向”与“核心要素”：对于涉及流程性和事务性的工作，其指标名称应涵盖“具体任务（动作）+关键结果（数量/属性）”。例如，将“展位面积”调整为“搭建展位面积”，既清晰指明了“搭建”这一必要动作，也关联了展位面积要求，确保执行目标与实际需求精准匹配。</w:t>
      </w:r>
      <w:bookmarkEnd w:id="55"/>
      <w:bookmarkEnd w:id="56"/>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2"/>
        <w:rPr>
          <w:rFonts w:hint="eastAsia" w:ascii="Times New Roman" w:hAnsi="Times New Roman" w:eastAsia="仿宋_GB2312" w:cs="Times New Roman"/>
          <w:b/>
          <w:bCs w:val="0"/>
          <w:color w:val="auto"/>
          <w:kern w:val="0"/>
          <w:sz w:val="32"/>
          <w:szCs w:val="32"/>
          <w:highlight w:val="none"/>
          <w:u w:val="none"/>
          <w:shd w:val="clear" w:color="auto" w:fill="auto"/>
          <w:lang w:val="en-US" w:eastAsia="zh-CN" w:bidi="zh-TW"/>
        </w:rPr>
      </w:pPr>
      <w:bookmarkStart w:id="57" w:name="_Toc23462"/>
      <w:bookmarkStart w:id="58" w:name="_Toc7112"/>
      <w:r>
        <w:rPr>
          <w:rFonts w:hint="eastAsia" w:ascii="Times New Roman" w:hAnsi="Times New Roman" w:eastAsia="仿宋_GB2312" w:cs="Times New Roman"/>
          <w:b/>
          <w:bCs w:val="0"/>
          <w:color w:val="auto"/>
          <w:kern w:val="0"/>
          <w:sz w:val="32"/>
          <w:szCs w:val="32"/>
          <w:highlight w:val="none"/>
          <w:u w:val="none"/>
          <w:shd w:val="clear" w:color="auto" w:fill="auto"/>
          <w:lang w:val="en-US" w:eastAsia="zh-CN" w:bidi="zh-TW"/>
        </w:rPr>
        <w:t>2.</w:t>
      </w:r>
      <w:bookmarkEnd w:id="57"/>
      <w:bookmarkEnd w:id="58"/>
      <w:r>
        <w:rPr>
          <w:rFonts w:hint="eastAsia" w:ascii="Times New Roman" w:hAnsi="Times New Roman" w:eastAsia="仿宋_GB2312" w:cs="Times New Roman"/>
          <w:b/>
          <w:bCs w:val="0"/>
          <w:color w:val="auto"/>
          <w:kern w:val="0"/>
          <w:sz w:val="32"/>
          <w:szCs w:val="32"/>
          <w:highlight w:val="none"/>
          <w:u w:val="none"/>
          <w:shd w:val="clear" w:color="auto" w:fill="auto"/>
          <w:lang w:val="en-US" w:eastAsia="zh-CN" w:bidi="zh-TW"/>
        </w:rPr>
        <w:t>优化验收流程，确保流程严谨实用</w:t>
      </w:r>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Times New Roman" w:hAnsi="Times New Roman"/>
          <w:lang w:val="en-US" w:eastAsia="zh-CN"/>
        </w:rPr>
      </w:pPr>
      <w:r>
        <w:rPr>
          <w:rFonts w:hint="eastAsia" w:ascii="Times New Roman" w:hAnsi="Times New Roman" w:eastAsia="仿宋_GB2312" w:cs="Times New Roman"/>
          <w:b w:val="0"/>
          <w:bCs/>
          <w:color w:val="auto"/>
          <w:kern w:val="0"/>
          <w:sz w:val="32"/>
          <w:szCs w:val="32"/>
          <w:highlight w:val="none"/>
          <w:u w:val="none"/>
          <w:shd w:val="clear" w:color="auto" w:fill="auto"/>
          <w:lang w:val="en-US" w:eastAsia="zh-CN" w:bidi="zh-TW"/>
        </w:rPr>
        <w:t>针对同类项目，应预先编制《验收标准手册》，同步附上设计图、材料清单等关键附件。组建由参展方、搭建方及组委会代表联合组成的“多方验收小组”，围绕“安全合规（结构、消防）”“功能实现（展区布局、设备运行）”及“细节体验（标识、舒适度）”三大维度逐项核验。现场记录问题点，明确“整改责任人”与“完成时限”，待整改到位并经复验合格后，方可签字确认，形成闭环管理。</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rPr>
    </w:pPr>
  </w:p>
  <w:p>
    <w:pPr>
      <w:pStyle w:val="7"/>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2</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7"/>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2</w:t>
                    </w:r>
                    <w:r>
                      <w:rPr>
                        <w:rFonts w:ascii="Times New Roman" w:hAnsi="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none" w:color="auto" w:sz="0" w:space="1"/>
      </w:pBdr>
      <w:kinsoku/>
      <w:wordWrap/>
      <w:overflowPunct/>
      <w:topLinePunct w:val="0"/>
      <w:bidi w:val="0"/>
      <w:adjustRightInd/>
      <w:snapToGrid w:val="0"/>
      <w:spacing w:after="0" w:line="300" w:lineRule="exact"/>
      <w:ind w:firstLine="840" w:firstLineChars="400"/>
      <w:jc w:val="left"/>
      <w:textAlignment w:val="auto"/>
      <w:outlineLvl w:val="9"/>
      <w:rPr>
        <w:rFonts w:hint="eastAsia" w:ascii="Times New Roman" w:hAnsi="Times New Roman" w:eastAsia="宋体"/>
        <w:b w:val="0"/>
        <w:bCs w:val="0"/>
        <w:sz w:val="21"/>
        <w:szCs w:val="21"/>
      </w:rPr>
    </w:pPr>
    <w:r>
      <w:rPr>
        <w:rFonts w:hint="eastAsia" w:ascii="隶书" w:hAnsi="宋体"/>
        <w:b w:val="0"/>
        <w:bCs w:val="0"/>
        <w:sz w:val="21"/>
        <w:szCs w:val="21"/>
      </w:rPr>
      <w:drawing>
        <wp:anchor distT="0" distB="0" distL="114300" distR="114300" simplePos="0" relativeHeight="251659264" behindDoc="0" locked="0" layoutInCell="1" allowOverlap="1">
          <wp:simplePos x="0" y="0"/>
          <wp:positionH relativeFrom="column">
            <wp:posOffset>-5080</wp:posOffset>
          </wp:positionH>
          <wp:positionV relativeFrom="paragraph">
            <wp:posOffset>-15875</wp:posOffset>
          </wp:positionV>
          <wp:extent cx="422910" cy="385445"/>
          <wp:effectExtent l="0" t="0" r="3810" b="10795"/>
          <wp:wrapSquare wrapText="bothSides"/>
          <wp:docPr id="2" name="图片 2" descr="财讯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财讯小图标"/>
                  <pic:cNvPicPr>
                    <a:picLocks noChangeAspect="1"/>
                  </pic:cNvPicPr>
                </pic:nvPicPr>
                <pic:blipFill>
                  <a:blip r:embed="rId1"/>
                  <a:stretch>
                    <a:fillRect/>
                  </a:stretch>
                </pic:blipFill>
                <pic:spPr>
                  <a:xfrm>
                    <a:off x="0" y="0"/>
                    <a:ext cx="422910" cy="385445"/>
                  </a:xfrm>
                  <a:prstGeom prst="rect">
                    <a:avLst/>
                  </a:prstGeom>
                </pic:spPr>
              </pic:pic>
            </a:graphicData>
          </a:graphic>
        </wp:anchor>
      </w:drawing>
    </w:r>
    <w:r>
      <w:rPr>
        <w:rFonts w:hint="eastAsia" w:ascii="Times New Roman" w:hAnsi="Times New Roman"/>
        <w:b w:val="0"/>
        <w:bCs w:val="0"/>
        <w:sz w:val="21"/>
        <w:szCs w:val="21"/>
      </w:rPr>
      <w:t>新</w:t>
    </w:r>
    <w:r>
      <w:rPr>
        <w:rFonts w:hint="eastAsia" w:ascii="Times New Roman" w:hAnsi="Times New Roman" w:eastAsia="宋体"/>
        <w:b w:val="0"/>
        <w:bCs w:val="0"/>
        <w:sz w:val="21"/>
        <w:szCs w:val="21"/>
      </w:rPr>
      <w:t>疆</w:t>
    </w:r>
    <w:r>
      <w:rPr>
        <w:rFonts w:hint="eastAsia" w:ascii="Times New Roman" w:hAnsi="Times New Roman" w:eastAsia="宋体"/>
        <w:b w:val="0"/>
        <w:bCs w:val="0"/>
        <w:sz w:val="21"/>
        <w:szCs w:val="21"/>
        <w:lang w:val="en-US" w:eastAsia="zh-CN"/>
      </w:rPr>
      <w:t>财讯睿智信息咨询</w:t>
    </w:r>
    <w:r>
      <w:rPr>
        <w:rFonts w:hint="eastAsia" w:ascii="Times New Roman" w:hAnsi="Times New Roman" w:eastAsia="宋体"/>
        <w:b w:val="0"/>
        <w:bCs w:val="0"/>
        <w:sz w:val="21"/>
        <w:szCs w:val="21"/>
      </w:rPr>
      <w:t>有限</w:t>
    </w:r>
    <w:r>
      <w:rPr>
        <w:rFonts w:hint="eastAsia" w:ascii="Times New Roman" w:hAnsi="Times New Roman" w:eastAsia="宋体"/>
        <w:b w:val="0"/>
        <w:bCs w:val="0"/>
        <w:sz w:val="21"/>
        <w:szCs w:val="21"/>
        <w:lang w:val="en-US" w:eastAsia="zh-CN"/>
      </w:rPr>
      <w:t>公司</w:t>
    </w:r>
    <w:r>
      <w:rPr>
        <w:rFonts w:hint="eastAsia" w:ascii="Times New Roman" w:hAnsi="Times New Roman" w:eastAsia="宋体"/>
        <w:b w:val="0"/>
        <w:bCs w:val="0"/>
        <w:sz w:val="21"/>
        <w:szCs w:val="21"/>
      </w:rPr>
      <w:t xml:space="preserve">     </w:t>
    </w:r>
  </w:p>
  <w:p>
    <w:pPr>
      <w:pStyle w:val="8"/>
      <w:keepNext w:val="0"/>
      <w:keepLines w:val="0"/>
      <w:pageBreakBefore w:val="0"/>
      <w:widowControl w:val="0"/>
      <w:pBdr>
        <w:bottom w:val="single" w:color="auto" w:sz="4" w:space="1"/>
      </w:pBdr>
      <w:kinsoku/>
      <w:wordWrap/>
      <w:overflowPunct/>
      <w:topLinePunct w:val="0"/>
      <w:bidi w:val="0"/>
      <w:adjustRightInd/>
      <w:snapToGrid w:val="0"/>
      <w:spacing w:after="0" w:line="300" w:lineRule="exact"/>
      <w:ind w:firstLine="840" w:firstLineChars="400"/>
      <w:jc w:val="left"/>
      <w:textAlignment w:val="auto"/>
      <w:outlineLvl w:val="9"/>
      <w:rPr>
        <w:rFonts w:hint="default" w:ascii="Times New Roman" w:hAnsi="Times New Roman" w:eastAsia="宋体" w:cs="Times New Roman"/>
        <w:b w:val="0"/>
        <w:bCs w:val="0"/>
        <w:sz w:val="21"/>
        <w:szCs w:val="21"/>
      </w:rPr>
    </w:pPr>
    <w:r>
      <w:rPr>
        <w:rFonts w:hint="eastAsia" w:ascii="Times New Roman" w:hAnsi="Times New Roman" w:cs="Times New Roman"/>
        <w:b w:val="0"/>
        <w:bCs w:val="0"/>
        <w:sz w:val="21"/>
        <w:szCs w:val="21"/>
        <w:lang w:eastAsia="zh-CN"/>
      </w:rPr>
      <w:t>X</w:t>
    </w:r>
    <w:r>
      <w:rPr>
        <w:rFonts w:hint="default" w:ascii="Times New Roman" w:hAnsi="Times New Roman" w:eastAsia="宋体" w:cs="Times New Roman"/>
        <w:b w:val="0"/>
        <w:bCs w:val="0"/>
        <w:sz w:val="21"/>
        <w:szCs w:val="21"/>
      </w:rPr>
      <w:t>injiang Cai</w:t>
    </w:r>
    <w:r>
      <w:rPr>
        <w:rFonts w:hint="eastAsia" w:ascii="Times New Roman" w:hAnsi="Times New Roman" w:cs="Times New Roman"/>
        <w:b w:val="0"/>
        <w:bCs w:val="0"/>
        <w:sz w:val="21"/>
        <w:szCs w:val="21"/>
        <w:lang w:eastAsia="zh-CN"/>
      </w:rPr>
      <w:t>X</w:t>
    </w:r>
    <w:r>
      <w:rPr>
        <w:rFonts w:hint="default" w:ascii="Times New Roman" w:hAnsi="Times New Roman" w:eastAsia="宋体" w:cs="Times New Roman"/>
        <w:b w:val="0"/>
        <w:bCs w:val="0"/>
        <w:sz w:val="21"/>
        <w:szCs w:val="21"/>
      </w:rPr>
      <w:t>un Ruizhi Information Consulting Co.,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E1F9C"/>
    <w:multiLevelType w:val="singleLevel"/>
    <w:tmpl w:val="88EE1F9C"/>
    <w:lvl w:ilvl="0" w:tentative="0">
      <w:start w:val="1"/>
      <w:numFmt w:val="chineseCounting"/>
      <w:suff w:val="nothing"/>
      <w:lvlText w:val="（%1）"/>
      <w:lvlJc w:val="left"/>
      <w:rPr>
        <w:rFonts w:hint="eastAsia"/>
      </w:rPr>
    </w:lvl>
  </w:abstractNum>
  <w:abstractNum w:abstractNumId="1">
    <w:nsid w:val="71D1758D"/>
    <w:multiLevelType w:val="singleLevel"/>
    <w:tmpl w:val="71D1758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TIxNTJlMjY2NjM5NjdjYmYwZjVhYjA4ZGEwODEifQ=="/>
  </w:docVars>
  <w:rsids>
    <w:rsidRoot w:val="0966299D"/>
    <w:rsid w:val="00982C8C"/>
    <w:rsid w:val="014C1573"/>
    <w:rsid w:val="01F32976"/>
    <w:rsid w:val="0213141D"/>
    <w:rsid w:val="02671015"/>
    <w:rsid w:val="02F95FCA"/>
    <w:rsid w:val="030C19A7"/>
    <w:rsid w:val="031F3DF1"/>
    <w:rsid w:val="03433F84"/>
    <w:rsid w:val="039E11BA"/>
    <w:rsid w:val="041A1188"/>
    <w:rsid w:val="046749DD"/>
    <w:rsid w:val="055D636D"/>
    <w:rsid w:val="07717B6B"/>
    <w:rsid w:val="07911761"/>
    <w:rsid w:val="08D4742C"/>
    <w:rsid w:val="092C30E1"/>
    <w:rsid w:val="0966299D"/>
    <w:rsid w:val="0ACB4F8A"/>
    <w:rsid w:val="0BB377CC"/>
    <w:rsid w:val="0C50326D"/>
    <w:rsid w:val="0D7B505C"/>
    <w:rsid w:val="0F962004"/>
    <w:rsid w:val="10623011"/>
    <w:rsid w:val="113D0264"/>
    <w:rsid w:val="11655F9D"/>
    <w:rsid w:val="117F4853"/>
    <w:rsid w:val="11D3456E"/>
    <w:rsid w:val="1256705F"/>
    <w:rsid w:val="14260760"/>
    <w:rsid w:val="14F17861"/>
    <w:rsid w:val="15AB60E4"/>
    <w:rsid w:val="161466D7"/>
    <w:rsid w:val="161A6DC6"/>
    <w:rsid w:val="163967C8"/>
    <w:rsid w:val="17A61064"/>
    <w:rsid w:val="18573340"/>
    <w:rsid w:val="1B556543"/>
    <w:rsid w:val="1B854CE1"/>
    <w:rsid w:val="1BEE36D9"/>
    <w:rsid w:val="1CBD66FD"/>
    <w:rsid w:val="1CE40996"/>
    <w:rsid w:val="1D992CC6"/>
    <w:rsid w:val="1DBB41B0"/>
    <w:rsid w:val="1E380731"/>
    <w:rsid w:val="1E8F7C25"/>
    <w:rsid w:val="1EBB34F1"/>
    <w:rsid w:val="1F0B7BF4"/>
    <w:rsid w:val="1FD0596B"/>
    <w:rsid w:val="20234AC9"/>
    <w:rsid w:val="22E42C35"/>
    <w:rsid w:val="235F003E"/>
    <w:rsid w:val="238B4E5F"/>
    <w:rsid w:val="247B25F9"/>
    <w:rsid w:val="25056E93"/>
    <w:rsid w:val="26D8232C"/>
    <w:rsid w:val="27143F38"/>
    <w:rsid w:val="27975EEA"/>
    <w:rsid w:val="284D23F2"/>
    <w:rsid w:val="28893937"/>
    <w:rsid w:val="2A59392D"/>
    <w:rsid w:val="2CE774E0"/>
    <w:rsid w:val="2CF37A4F"/>
    <w:rsid w:val="2DD90EBD"/>
    <w:rsid w:val="2F062C82"/>
    <w:rsid w:val="2F4A2E19"/>
    <w:rsid w:val="2F4E1351"/>
    <w:rsid w:val="310149B3"/>
    <w:rsid w:val="31576960"/>
    <w:rsid w:val="318A0E4C"/>
    <w:rsid w:val="32736250"/>
    <w:rsid w:val="32C3078C"/>
    <w:rsid w:val="354146B8"/>
    <w:rsid w:val="35A04C04"/>
    <w:rsid w:val="35FF348B"/>
    <w:rsid w:val="37305FF2"/>
    <w:rsid w:val="37A14BDC"/>
    <w:rsid w:val="3A261349"/>
    <w:rsid w:val="3B624143"/>
    <w:rsid w:val="3B9F3746"/>
    <w:rsid w:val="3BB8053A"/>
    <w:rsid w:val="3C1732DC"/>
    <w:rsid w:val="3C726653"/>
    <w:rsid w:val="3C8F1D62"/>
    <w:rsid w:val="3E8A598F"/>
    <w:rsid w:val="3EBA76FD"/>
    <w:rsid w:val="3ED6747E"/>
    <w:rsid w:val="3F161F71"/>
    <w:rsid w:val="3F4A1533"/>
    <w:rsid w:val="3F4A5777"/>
    <w:rsid w:val="3FC4377B"/>
    <w:rsid w:val="3FFC4D2D"/>
    <w:rsid w:val="407F6D0D"/>
    <w:rsid w:val="40EA1291"/>
    <w:rsid w:val="42254279"/>
    <w:rsid w:val="440D104D"/>
    <w:rsid w:val="449C4D72"/>
    <w:rsid w:val="44E73A68"/>
    <w:rsid w:val="44F75DDC"/>
    <w:rsid w:val="45140D01"/>
    <w:rsid w:val="4591403C"/>
    <w:rsid w:val="461B60BF"/>
    <w:rsid w:val="464077CD"/>
    <w:rsid w:val="46BB51AC"/>
    <w:rsid w:val="47F77B6C"/>
    <w:rsid w:val="49EA567F"/>
    <w:rsid w:val="49F72F5A"/>
    <w:rsid w:val="4A235542"/>
    <w:rsid w:val="4ADB7BCB"/>
    <w:rsid w:val="4AE253FD"/>
    <w:rsid w:val="4BDF6013"/>
    <w:rsid w:val="4BE60F1D"/>
    <w:rsid w:val="4C575977"/>
    <w:rsid w:val="4C9C2831"/>
    <w:rsid w:val="4DC964F8"/>
    <w:rsid w:val="4E8567CB"/>
    <w:rsid w:val="4EE513E7"/>
    <w:rsid w:val="4F212294"/>
    <w:rsid w:val="4F365D17"/>
    <w:rsid w:val="503161DD"/>
    <w:rsid w:val="504C2DF0"/>
    <w:rsid w:val="51875CD1"/>
    <w:rsid w:val="52081BED"/>
    <w:rsid w:val="52236EFF"/>
    <w:rsid w:val="53D06F9D"/>
    <w:rsid w:val="53F35F85"/>
    <w:rsid w:val="54BA4CF5"/>
    <w:rsid w:val="557E3F74"/>
    <w:rsid w:val="559B4B26"/>
    <w:rsid w:val="55E60E8B"/>
    <w:rsid w:val="565828B0"/>
    <w:rsid w:val="5667388B"/>
    <w:rsid w:val="57377FFD"/>
    <w:rsid w:val="57664CC0"/>
    <w:rsid w:val="577109C8"/>
    <w:rsid w:val="578A30A4"/>
    <w:rsid w:val="57E74053"/>
    <w:rsid w:val="58515970"/>
    <w:rsid w:val="58597148"/>
    <w:rsid w:val="593A6404"/>
    <w:rsid w:val="595C281E"/>
    <w:rsid w:val="5991071A"/>
    <w:rsid w:val="59F65571"/>
    <w:rsid w:val="5A875D41"/>
    <w:rsid w:val="5A89319F"/>
    <w:rsid w:val="5B3D3F8A"/>
    <w:rsid w:val="5CAE513F"/>
    <w:rsid w:val="5CC20F8A"/>
    <w:rsid w:val="5E055233"/>
    <w:rsid w:val="5E1436C8"/>
    <w:rsid w:val="5E473A9D"/>
    <w:rsid w:val="5E916AC6"/>
    <w:rsid w:val="5ED37B93"/>
    <w:rsid w:val="5F060148"/>
    <w:rsid w:val="5FB80713"/>
    <w:rsid w:val="60D34F34"/>
    <w:rsid w:val="61C42C64"/>
    <w:rsid w:val="623954AB"/>
    <w:rsid w:val="62894684"/>
    <w:rsid w:val="6360328F"/>
    <w:rsid w:val="6377058D"/>
    <w:rsid w:val="63CE44AC"/>
    <w:rsid w:val="64680D17"/>
    <w:rsid w:val="64F34037"/>
    <w:rsid w:val="651162CA"/>
    <w:rsid w:val="65461EEE"/>
    <w:rsid w:val="65AD68DC"/>
    <w:rsid w:val="66683FD8"/>
    <w:rsid w:val="67C212D7"/>
    <w:rsid w:val="68C02A57"/>
    <w:rsid w:val="696C085C"/>
    <w:rsid w:val="6A1B17E0"/>
    <w:rsid w:val="6AC92805"/>
    <w:rsid w:val="6CE3583D"/>
    <w:rsid w:val="6E0F17B6"/>
    <w:rsid w:val="6E3E3A60"/>
    <w:rsid w:val="70035E4A"/>
    <w:rsid w:val="704936A5"/>
    <w:rsid w:val="711527F6"/>
    <w:rsid w:val="71F632AA"/>
    <w:rsid w:val="7298446F"/>
    <w:rsid w:val="72D81FA0"/>
    <w:rsid w:val="73C117A4"/>
    <w:rsid w:val="7506180B"/>
    <w:rsid w:val="751B4A79"/>
    <w:rsid w:val="75363ACC"/>
    <w:rsid w:val="75CD4430"/>
    <w:rsid w:val="77D71596"/>
    <w:rsid w:val="788E61A6"/>
    <w:rsid w:val="79CE4C1B"/>
    <w:rsid w:val="79E409FD"/>
    <w:rsid w:val="7A5C0769"/>
    <w:rsid w:val="7A845AC2"/>
    <w:rsid w:val="7AC676A0"/>
    <w:rsid w:val="7B3C2518"/>
    <w:rsid w:val="7C547CE0"/>
    <w:rsid w:val="7CA0289E"/>
    <w:rsid w:val="7CDE2C92"/>
    <w:rsid w:val="7D1A685F"/>
    <w:rsid w:val="7DC73E5B"/>
    <w:rsid w:val="7DE0510C"/>
    <w:rsid w:val="7DF804B8"/>
    <w:rsid w:val="7EA23EC7"/>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jc w:val="left"/>
    </w:pPr>
    <w:rPr>
      <w:rFonts w:ascii="Calibri" w:hAnsi="Calibri" w:eastAsia="宋体" w:cs="Times New Roman"/>
      <w:kern w:val="0"/>
      <w:sz w:val="24"/>
      <w:szCs w:val="24"/>
      <w:lang w:val="en-US" w:eastAsia="zh-CN" w:bidi="ar"/>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NormalCharacter"/>
    <w:link w:val="1"/>
    <w:semiHidden/>
    <w:qFormat/>
    <w:uiPriority w:val="0"/>
    <w:rPr>
      <w:rFonts w:ascii="Calibri" w:hAnsi="Calibri" w:eastAsia="宋体" w:cs="Times New Roman"/>
      <w:kern w:val="0"/>
      <w:sz w:val="24"/>
      <w:szCs w:val="24"/>
      <w:lang w:val="en-US" w:eastAsia="zh-CN" w:bidi="ar"/>
    </w:rPr>
  </w:style>
  <w:style w:type="paragraph" w:customStyle="1" w:styleId="16">
    <w:name w:val="Body text|1"/>
    <w:basedOn w:val="1"/>
    <w:qFormat/>
    <w:uiPriority w:val="0"/>
    <w:pPr>
      <w:widowControl w:val="0"/>
      <w:shd w:val="clear" w:color="auto" w:fill="auto"/>
      <w:spacing w:line="377" w:lineRule="auto"/>
      <w:ind w:firstLine="400"/>
    </w:pPr>
    <w:rPr>
      <w:rFonts w:ascii="宋体" w:hAnsi="宋体" w:eastAsia="宋体" w:cs="宋体"/>
      <w:sz w:val="28"/>
      <w:szCs w:val="28"/>
      <w:u w:val="none"/>
      <w:shd w:val="clear" w:color="auto" w:fill="auto"/>
      <w:lang w:val="zh-TW" w:eastAsia="zh-TW" w:bidi="zh-TW"/>
    </w:rPr>
  </w:style>
  <w:style w:type="paragraph" w:customStyle="1" w:styleId="17">
    <w:name w:val="GB正文"/>
    <w:basedOn w:val="1"/>
    <w:qFormat/>
    <w:uiPriority w:val="0"/>
    <w:pPr>
      <w:spacing w:line="590" w:lineRule="exact"/>
      <w:ind w:firstLine="707" w:firstLineChars="221"/>
    </w:pPr>
    <w:rPr>
      <w:rFonts w:ascii="仿宋_GB2312" w:hAnsi="Times New Roman" w:eastAsia="仿宋_GB2312"/>
      <w:color w:val="000000"/>
      <w:spacing w:val="6"/>
      <w:sz w:val="32"/>
      <w:szCs w:val="32"/>
    </w:rPr>
  </w:style>
  <w:style w:type="paragraph" w:customStyle="1" w:styleId="18">
    <w:name w:val="黑体1"/>
    <w:basedOn w:val="1"/>
    <w:qFormat/>
    <w:uiPriority w:val="0"/>
    <w:pPr>
      <w:widowControl/>
      <w:overflowPunct w:val="0"/>
      <w:autoSpaceDE w:val="0"/>
      <w:autoSpaceDN w:val="0"/>
      <w:adjustRightInd w:val="0"/>
      <w:spacing w:line="560" w:lineRule="exact"/>
      <w:ind w:firstLine="803" w:firstLineChars="250"/>
      <w:textAlignment w:val="baseline"/>
    </w:pPr>
    <w:rPr>
      <w:rFonts w:ascii="黑体" w:hAnsi="黑体" w:eastAsia="黑体"/>
      <w:b/>
      <w:kern w:val="0"/>
      <w:sz w:val="32"/>
      <w:szCs w:val="28"/>
    </w:rPr>
  </w:style>
  <w:style w:type="paragraph" w:customStyle="1" w:styleId="19">
    <w:name w:val="闻政正文"/>
    <w:basedOn w:val="1"/>
    <w:qFormat/>
    <w:uiPriority w:val="0"/>
    <w:pPr>
      <w:spacing w:line="500" w:lineRule="exact"/>
      <w:ind w:firstLine="883" w:firstLineChars="200"/>
    </w:pPr>
    <w:rPr>
      <w:rFonts w:ascii="Times New Roman" w:hAnsi="Times New Roman" w:eastAsia="仿宋_GB2312"/>
      <w:kern w:val="0"/>
      <w:sz w:val="28"/>
      <w:szCs w:val="28"/>
    </w:rPr>
  </w:style>
  <w:style w:type="paragraph" w:customStyle="1" w:styleId="20">
    <w:name w:val="列出段落1"/>
    <w:basedOn w:val="1"/>
    <w:qFormat/>
    <w:uiPriority w:val="0"/>
    <w:pPr>
      <w:ind w:firstLine="420" w:firstLineChars="200"/>
    </w:pPr>
  </w:style>
  <w:style w:type="character" w:customStyle="1" w:styleId="21">
    <w:name w:val="font41"/>
    <w:basedOn w:val="14"/>
    <w:qFormat/>
    <w:uiPriority w:val="0"/>
    <w:rPr>
      <w:rFonts w:hint="default" w:ascii="Times New Roman" w:hAnsi="Times New Roman" w:cs="Times New Roman"/>
      <w:color w:val="000000"/>
      <w:sz w:val="22"/>
      <w:szCs w:val="22"/>
      <w:u w:val="none"/>
    </w:rPr>
  </w:style>
  <w:style w:type="character" w:customStyle="1" w:styleId="22">
    <w:name w:val="font31"/>
    <w:basedOn w:val="14"/>
    <w:qFormat/>
    <w:uiPriority w:val="0"/>
    <w:rPr>
      <w:rFonts w:hint="eastAsia" w:ascii="仿宋" w:hAnsi="仿宋" w:eastAsia="仿宋" w:cs="仿宋"/>
      <w:color w:val="000000"/>
      <w:sz w:val="22"/>
      <w:szCs w:val="22"/>
      <w:u w:val="non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2945</Words>
  <Characters>3079</Characters>
  <Lines>0</Lines>
  <Paragraphs>0</Paragraphs>
  <TotalTime>23</TotalTime>
  <ScaleCrop>false</ScaleCrop>
  <LinksUpToDate>false</LinksUpToDate>
  <CharactersWithSpaces>3080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2023-07-03T09:16:00Z</dcterms:created>
  <dc:creator>Q.</dc:creator>
  <cp:lastModifiedBy>user</cp:lastModifiedBy>
  <cp:lastPrinted>2023-07-05T09:41:00Z</cp:lastPrinted>
  <dcterms:modified xsi:type="dcterms:W3CDTF">2025-11-25T02:41:46Z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F177419533C94C7C9A14ECF140499DA2_13</vt:lpwstr>
  </property>
  <property fmtid="{D5CDD505-2E9C-101B-9397-08002B2CF9AE}" pid="4" name="KSOTemplateDocerSaveRecord">
    <vt:lpwstr>eyJoZGlkIjoiMzU2YWNjYWM0ZjQzNTYwYzEyN2VlYjEyOTY5OGUxZDciLCJ1c2VySWQiOiIxNTUxMTYxNjMwIn0=</vt:lpwstr>
  </property>
</Properties>
</file>