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黑体" w:cs="Times New Roman"/>
          <w:b/>
          <w:bCs/>
          <w:color w:val="auto"/>
          <w:sz w:val="52"/>
          <w:szCs w:val="52"/>
          <w:highlight w:val="none"/>
          <w:lang w:val="en-US" w:eastAsia="zh-CN"/>
        </w:rPr>
      </w:pPr>
    </w:p>
    <w:p>
      <w:pPr>
        <w:jc w:val="center"/>
        <w:outlineLvl w:val="0"/>
        <w:rPr>
          <w:rFonts w:hint="default" w:ascii="Times New Roman" w:hAnsi="Times New Roman" w:eastAsia="黑体" w:cs="Times New Roman"/>
          <w:b/>
          <w:bCs/>
          <w:color w:val="auto"/>
          <w:sz w:val="52"/>
          <w:szCs w:val="52"/>
          <w:highlight w:val="none"/>
          <w:lang w:val="en-US" w:eastAsia="zh-CN"/>
        </w:rPr>
      </w:pPr>
    </w:p>
    <w:p>
      <w:pPr>
        <w:jc w:val="center"/>
        <w:outlineLvl w:val="0"/>
        <w:rPr>
          <w:rFonts w:hint="default" w:ascii="Times New Roman" w:hAnsi="Times New Roman" w:eastAsia="黑体" w:cs="Times New Roman"/>
          <w:b/>
          <w:bCs/>
          <w:color w:val="auto"/>
          <w:sz w:val="52"/>
          <w:szCs w:val="52"/>
          <w:highlight w:val="none"/>
          <w:lang w:val="en-US" w:eastAsia="zh-CN"/>
        </w:rPr>
      </w:pPr>
      <w:bookmarkStart w:id="0" w:name="_Toc18919"/>
      <w:bookmarkStart w:id="1" w:name="_Toc21564"/>
      <w:r>
        <w:rPr>
          <w:rFonts w:hint="eastAsia" w:ascii="Times New Roman" w:hAnsi="Times New Roman" w:eastAsia="黑体" w:cs="Times New Roman"/>
          <w:b/>
          <w:bCs/>
          <w:color w:val="auto"/>
          <w:sz w:val="52"/>
          <w:szCs w:val="52"/>
          <w:highlight w:val="none"/>
          <w:lang w:val="en-US" w:eastAsia="zh-CN"/>
        </w:rPr>
        <w:t>吐鲁番市</w:t>
      </w:r>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0"/>
      <w:bookmarkEnd w:id="1"/>
    </w:p>
    <w:p>
      <w:pPr>
        <w:jc w:val="center"/>
        <w:outlineLvl w:val="0"/>
        <w:rPr>
          <w:rFonts w:hint="default" w:ascii="Times New Roman" w:hAnsi="Times New Roman" w:eastAsia="黑体" w:cs="Times New Roman"/>
          <w:b/>
          <w:bCs/>
          <w:color w:val="auto"/>
          <w:sz w:val="52"/>
          <w:szCs w:val="52"/>
          <w:highlight w:val="none"/>
          <w:lang w:val="en-US" w:eastAsia="zh-CN"/>
        </w:rPr>
      </w:pPr>
      <w:bookmarkStart w:id="2" w:name="_Toc3248"/>
      <w:bookmarkStart w:id="3" w:name="_Toc21340"/>
      <w:r>
        <w:rPr>
          <w:rFonts w:hint="default" w:ascii="Times New Roman" w:hAnsi="Times New Roman" w:eastAsia="黑体" w:cs="Times New Roman"/>
          <w:b/>
          <w:bCs/>
          <w:color w:val="auto"/>
          <w:sz w:val="52"/>
          <w:szCs w:val="52"/>
          <w:highlight w:val="none"/>
          <w:lang w:val="en-US" w:eastAsia="zh-CN"/>
        </w:rPr>
        <w:t>预算绩效评价报告</w:t>
      </w:r>
      <w:bookmarkEnd w:id="2"/>
      <w:bookmarkEnd w:id="3"/>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项目名称：吐鲁番市文化和旅游业高质量发展奖励办法资金项目</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项目单位：吐鲁番市文化体育</w:t>
      </w:r>
      <w:r>
        <w:rPr>
          <w:rFonts w:hint="eastAsia" w:ascii="Times New Roman" w:hAnsi="Times New Roman" w:eastAsia="黑体" w:cs="Times New Roman"/>
          <w:b w:val="0"/>
          <w:bCs w:val="0"/>
          <w:color w:val="auto"/>
          <w:sz w:val="32"/>
          <w:szCs w:val="32"/>
          <w:highlight w:val="none"/>
          <w:lang w:val="en-US" w:eastAsia="zh-CN"/>
        </w:rPr>
        <w:t>广播电视</w:t>
      </w:r>
      <w:r>
        <w:rPr>
          <w:rFonts w:hint="default" w:ascii="Times New Roman" w:hAnsi="Times New Roman" w:eastAsia="黑体" w:cs="Times New Roman"/>
          <w:b w:val="0"/>
          <w:bCs w:val="0"/>
          <w:color w:val="auto"/>
          <w:sz w:val="32"/>
          <w:szCs w:val="32"/>
          <w:highlight w:val="none"/>
          <w:lang w:val="en-US" w:eastAsia="zh-CN"/>
        </w:rPr>
        <w:t>和旅游局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w:t>
      </w:r>
      <w:r>
        <w:rPr>
          <w:rFonts w:hint="default" w:ascii="Times New Roman" w:hAnsi="Times New Roman" w:eastAsia="黑体" w:cs="Times New Roman"/>
          <w:b w:val="0"/>
          <w:bCs w:val="0"/>
          <w:color w:val="auto"/>
          <w:sz w:val="32"/>
          <w:szCs w:val="32"/>
          <w:highlight w:val="none"/>
          <w:lang w:val="en-US" w:eastAsia="zh-CN"/>
        </w:rPr>
        <w:t>吐鲁番市文化体育</w:t>
      </w:r>
      <w:r>
        <w:rPr>
          <w:rFonts w:hint="eastAsia" w:ascii="Times New Roman" w:hAnsi="Times New Roman" w:eastAsia="黑体" w:cs="Times New Roman"/>
          <w:b w:val="0"/>
          <w:bCs w:val="0"/>
          <w:color w:val="auto"/>
          <w:sz w:val="32"/>
          <w:szCs w:val="32"/>
          <w:highlight w:val="none"/>
          <w:lang w:val="en-US" w:eastAsia="zh-CN"/>
        </w:rPr>
        <w:t>广播电视</w:t>
      </w:r>
      <w:r>
        <w:rPr>
          <w:rFonts w:hint="default" w:ascii="Times New Roman" w:hAnsi="Times New Roman" w:eastAsia="黑体" w:cs="Times New Roman"/>
          <w:b w:val="0"/>
          <w:bCs w:val="0"/>
          <w:color w:val="auto"/>
          <w:sz w:val="32"/>
          <w:szCs w:val="32"/>
          <w:highlight w:val="none"/>
          <w:lang w:val="en-US" w:eastAsia="zh-CN"/>
        </w:rPr>
        <w:t>和旅游局</w:t>
      </w:r>
    </w:p>
    <w:p>
      <w:pPr>
        <w:snapToGrid/>
        <w:spacing w:before="120" w:beforeAutospacing="0" w:after="120" w:afterAutospacing="0" w:line="360" w:lineRule="auto"/>
        <w:ind w:firstLine="640" w:firstLineChars="200"/>
        <w:jc w:val="left"/>
        <w:textAlignment w:val="baseline"/>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w:t>
      </w:r>
      <w:r>
        <w:rPr>
          <w:rStyle w:val="14"/>
          <w:rFonts w:hint="eastAsia" w:ascii="Times New Roman" w:hAnsi="Times New Roman" w:eastAsia="黑体" w:cs="Times New Roman"/>
          <w:b w:val="0"/>
          <w:i w:val="0"/>
          <w:caps w:val="0"/>
          <w:color w:val="auto"/>
          <w:spacing w:val="0"/>
          <w:w w:val="100"/>
          <w:kern w:val="0"/>
          <w:sz w:val="32"/>
          <w:szCs w:val="32"/>
          <w:highlight w:val="none"/>
          <w:lang w:val="en-US" w:eastAsia="zh-CN" w:bidi="en-US"/>
        </w:rPr>
        <w:t>吐鲁番市财政局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评价机构：</w:t>
      </w:r>
      <w:r>
        <w:rPr>
          <w:rFonts w:hint="eastAsia" w:ascii="Times New Roman" w:hAnsi="Times New Roman" w:eastAsia="黑体" w:cs="Times New Roman"/>
          <w:b w:val="0"/>
          <w:bCs w:val="0"/>
          <w:color w:val="auto"/>
          <w:sz w:val="32"/>
          <w:szCs w:val="32"/>
          <w:highlight w:val="none"/>
          <w:lang w:val="en-US" w:eastAsia="zh-CN"/>
        </w:rPr>
        <w:t>新疆财讯睿智信息咨询有限公司</w:t>
      </w:r>
    </w:p>
    <w:p>
      <w:pPr>
        <w:jc w:val="center"/>
        <w:rPr>
          <w:rFonts w:hint="default" w:ascii="Times New Roman" w:hAnsi="Times New Roman" w:eastAsia="黑体" w:cs="Times New Roman"/>
          <w:b w:val="0"/>
          <w:bCs w:val="0"/>
          <w:color w:val="auto"/>
          <w:sz w:val="32"/>
          <w:szCs w:val="32"/>
          <w:highlight w:val="none"/>
          <w:lang w:val="en-US" w:eastAsia="zh-CN"/>
        </w:rPr>
        <w:sectPr>
          <w:headerReference r:id="rId3" w:type="default"/>
          <w:pgSz w:w="11906" w:h="16838"/>
          <w:pgMar w:top="1440" w:right="1800" w:bottom="1440" w:left="1800" w:header="851" w:footer="992" w:gutter="0"/>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4" w:name="_Toc31480"/>
      <w:bookmarkStart w:id="5" w:name="_Toc21206"/>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4"/>
      <w:bookmarkEnd w:id="5"/>
    </w:p>
    <w:p>
      <w:pPr>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项目概述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深入贯彻落实党的二十大精神，贯彻落实习近平总书记视察新疆特别是吐鲁番</w:t>
      </w:r>
      <w:r>
        <w:rPr>
          <w:rFonts w:hint="eastAsia" w:ascii="Times New Roman" w:hAnsi="Times New Roman" w:eastAsia="仿宋_GB2312" w:cs="Times New Roman"/>
          <w:b w:val="0"/>
          <w:bCs w:val="0"/>
          <w:color w:val="auto"/>
          <w:sz w:val="32"/>
          <w:szCs w:val="32"/>
          <w:highlight w:val="none"/>
          <w:lang w:val="en-US" w:eastAsia="zh-CN"/>
        </w:rPr>
        <w:t>市</w:t>
      </w:r>
      <w:r>
        <w:rPr>
          <w:rFonts w:hint="default" w:ascii="Times New Roman" w:hAnsi="Times New Roman" w:eastAsia="仿宋_GB2312" w:cs="Times New Roman"/>
          <w:b w:val="0"/>
          <w:bCs w:val="0"/>
          <w:color w:val="auto"/>
          <w:sz w:val="32"/>
          <w:szCs w:val="32"/>
          <w:highlight w:val="none"/>
          <w:lang w:val="en-US" w:eastAsia="zh-CN"/>
        </w:rPr>
        <w:t>时的重要讲话、重要指示精神，完整准确贯彻新时代党的治疆方略，全面落实自治区、吐鲁番市旅游发展大会精神，按照吐鲁番市委“1535”工作思路要求，深入推行‘文旅兴市’战略，培育壮大文化和旅游产业，繁荣文化和旅游事业，建设文化和旅游强市，</w:t>
      </w:r>
      <w:r>
        <w:rPr>
          <w:rFonts w:hint="eastAsia" w:ascii="Times New Roman" w:hAnsi="Times New Roman" w:eastAsia="仿宋_GB2312" w:cs="Times New Roman"/>
          <w:b w:val="0"/>
          <w:bCs w:val="0"/>
          <w:color w:val="auto"/>
          <w:sz w:val="32"/>
          <w:szCs w:val="32"/>
          <w:highlight w:val="none"/>
          <w:lang w:val="en-US" w:eastAsia="zh-CN"/>
        </w:rPr>
        <w:t>凭借优惠政策，全面调动旅游市场营销及客源吸引的积极性与主动性，</w:t>
      </w:r>
      <w:r>
        <w:rPr>
          <w:rFonts w:hint="default" w:ascii="Times New Roman" w:hAnsi="Times New Roman" w:eastAsia="仿宋_GB2312" w:cs="Times New Roman"/>
          <w:b w:val="0"/>
          <w:bCs w:val="0"/>
          <w:color w:val="auto"/>
          <w:sz w:val="32"/>
          <w:szCs w:val="32"/>
          <w:highlight w:val="none"/>
          <w:lang w:val="en-US" w:eastAsia="zh-CN"/>
        </w:rPr>
        <w:t>做大游客总量，拉动旅游综合消费，助推文化旅游高质量发展</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结合吐鲁番市旅游业发展实际，遵循下位规划服从上位规划、下级规划服从上级规划、上位规划相互协调的原则，依据《文旅部“十四五”文化和旅游发展规划》和《新疆维吾尔自治区文化和旅游发展第十四个五年规划》等上位规划，以及《吐鲁番市全域旅游发展规划》和《吐鲁番市“十四五”文化和旅游发展规划》等本地规划，重点发展文化和旅游融合、旅游目的地营销、乡村旅游、康养旅游、夜间经济及旅游产品开发等专项规划和区域规划。同时，严格遵循《新疆维吾尔自治区旅游促进条例》等文化和旅游政策法规，科学编制《吐鲁番市文化和旅游发展总体规划》，以实现规划的全面融合。</w:t>
      </w:r>
      <w:r>
        <w:rPr>
          <w:rFonts w:hint="default" w:ascii="Times New Roman" w:hAnsi="Times New Roman" w:eastAsia="仿宋_GB2312" w:cs="Times New Roman"/>
          <w:b w:val="0"/>
          <w:bCs w:val="0"/>
          <w:color w:val="auto"/>
          <w:sz w:val="32"/>
          <w:szCs w:val="32"/>
          <w:highlight w:val="none"/>
          <w:lang w:val="en-US" w:eastAsia="zh-CN"/>
        </w:rPr>
        <w:t>坚持全域旅游、全民参与、全域共建的理念，</w:t>
      </w:r>
      <w:r>
        <w:rPr>
          <w:rFonts w:hint="eastAsia" w:ascii="Times New Roman" w:hAnsi="Times New Roman" w:eastAsia="仿宋_GB2312" w:cs="Times New Roman"/>
          <w:b w:val="0"/>
          <w:bCs w:val="0"/>
          <w:color w:val="auto"/>
          <w:sz w:val="32"/>
          <w:szCs w:val="32"/>
          <w:highlight w:val="none"/>
          <w:lang w:val="en-US" w:eastAsia="zh-CN"/>
        </w:rPr>
        <w:t>全面激发各行各业及各族群众干部的热情与活力，积极引导他们关注旅游、投身旅游、鼎力支持旅游发展</w:t>
      </w:r>
      <w:r>
        <w:rPr>
          <w:rFonts w:hint="default" w:ascii="Times New Roman" w:hAnsi="Times New Roman" w:eastAsia="仿宋_GB2312" w:cs="Times New Roman"/>
          <w:b w:val="0"/>
          <w:bCs w:val="0"/>
          <w:color w:val="auto"/>
          <w:sz w:val="32"/>
          <w:szCs w:val="32"/>
          <w:highlight w:val="none"/>
          <w:lang w:val="en-US" w:eastAsia="zh-CN"/>
        </w:rPr>
        <w:t>，争做文旅发展的参与者、推动者，营造“人人都是旅游形象，处处都是旅游环境”的浓厚氛围，实现“全域、全业、全民”共建共享发展新格局。</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eastAsia="仿宋_GB2312" w:cs="仿宋_GB2312"/>
          <w:b w:val="0"/>
          <w:bCs w:val="0"/>
          <w:color w:val="auto"/>
          <w:kern w:val="0"/>
          <w:sz w:val="32"/>
          <w:szCs w:val="28"/>
          <w:highlight w:val="none"/>
          <w:lang w:val="en-US" w:eastAsia="zh-CN" w:bidi="ar-SA"/>
        </w:rPr>
        <w:t>截至2024年</w:t>
      </w:r>
      <w:r>
        <w:rPr>
          <w:rFonts w:hint="eastAsia" w:ascii="Times New Roman" w:hAnsi="Times New Roman" w:cs="仿宋_GB2312"/>
          <w:b w:val="0"/>
          <w:bCs w:val="0"/>
          <w:color w:val="auto"/>
          <w:kern w:val="0"/>
          <w:sz w:val="32"/>
          <w:szCs w:val="28"/>
          <w:highlight w:val="none"/>
          <w:lang w:val="en-US" w:eastAsia="zh-CN" w:bidi="ar-SA"/>
        </w:rPr>
        <w:t>12</w:t>
      </w:r>
      <w:r>
        <w:rPr>
          <w:rFonts w:hint="eastAsia" w:ascii="Times New Roman" w:hAnsi="Times New Roman" w:eastAsia="仿宋_GB2312" w:cs="仿宋_GB2312"/>
          <w:b w:val="0"/>
          <w:bCs w:val="0"/>
          <w:color w:val="auto"/>
          <w:kern w:val="0"/>
          <w:sz w:val="32"/>
          <w:szCs w:val="28"/>
          <w:highlight w:val="none"/>
          <w:lang w:val="en-US" w:eastAsia="zh-CN" w:bidi="ar-SA"/>
        </w:rPr>
        <w:t>月31日累计完成兑现2023年8月10日至2024年8月10日期间对符合条件的自治区级夜间文化和旅游消费集聚区（1家）、国家3A级旅游景区（2家）、星级农家乐（四星级1家、三星级2家）、短视频奖励（2个），专列组团（5家）、“湖南人游吐鲁番”组团（1家）7个类别进行了奖励，共计使用本级财政资金77.5万元，这一举措有效加速了吐鲁番市文旅事业迈向高质量发展的新步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
          <w:bCs w:val="0"/>
          <w:color w:val="auto"/>
          <w:kern w:val="0"/>
          <w:sz w:val="32"/>
          <w:szCs w:val="32"/>
          <w:highlight w:val="none"/>
          <w:lang w:bidi="ar"/>
        </w:rPr>
      </w:pPr>
      <w:r>
        <w:rPr>
          <w:rFonts w:hint="default" w:ascii="Times New Roman" w:hAnsi="Times New Roman" w:eastAsia="仿宋_GB2312" w:cs="Times New Roman"/>
          <w:b/>
          <w:bCs w:val="0"/>
          <w:color w:val="auto"/>
          <w:kern w:val="0"/>
          <w:sz w:val="32"/>
          <w:szCs w:val="32"/>
          <w:highlight w:val="none"/>
          <w:lang w:bidi="ar"/>
        </w:rPr>
        <w:t>1.总目标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b w:val="0"/>
          <w:bCs w:val="0"/>
          <w:color w:val="auto"/>
          <w:kern w:val="0"/>
          <w:sz w:val="32"/>
          <w:szCs w:val="28"/>
          <w:highlight w:val="none"/>
          <w:lang w:val="en-US" w:eastAsia="zh-CN" w:bidi="ar-SA"/>
        </w:rPr>
      </w:pPr>
      <w:r>
        <w:rPr>
          <w:rFonts w:hint="eastAsia" w:ascii="Times New Roman" w:hAnsi="Times New Roman" w:eastAsia="仿宋_GB2312" w:cs="仿宋_GB2312"/>
          <w:b w:val="0"/>
          <w:bCs w:val="0"/>
          <w:color w:val="auto"/>
          <w:kern w:val="0"/>
          <w:sz w:val="32"/>
          <w:szCs w:val="28"/>
          <w:highlight w:val="none"/>
          <w:lang w:val="en-US" w:eastAsia="zh-CN" w:bidi="ar-SA"/>
        </w:rPr>
        <w:t>根据《吐鲁番市推动文化和旅游业高质量发展奖励办法》及2020年《吐鲁番市旅游优惠政策》，吐鲁番市兑现了2023年8月10日至2024年8月10日期间的奖励资金，以及对符合条件的文旅企业和旅行社的奖补资金，以促进文化和旅游业的高质量发展。</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仿宋_GB2312" w:cs="仿宋_GB2312"/>
          <w:b w:val="0"/>
          <w:bCs w:val="0"/>
          <w:color w:val="auto"/>
          <w:kern w:val="0"/>
          <w:sz w:val="32"/>
          <w:szCs w:val="28"/>
          <w:highlight w:val="none"/>
          <w:lang w:val="en-US" w:eastAsia="zh-CN" w:bidi="ar-SA"/>
        </w:rPr>
      </w:pPr>
      <w:r>
        <w:rPr>
          <w:rFonts w:hint="eastAsia" w:ascii="Times New Roman" w:hAnsi="Times New Roman" w:eastAsia="仿宋_GB2312" w:cs="Times New Roman"/>
          <w:b/>
          <w:bCs w:val="0"/>
          <w:color w:val="auto"/>
          <w:kern w:val="0"/>
          <w:sz w:val="32"/>
          <w:szCs w:val="32"/>
          <w:highlight w:val="none"/>
          <w:lang w:val="en-US" w:eastAsia="zh-CN" w:bidi="ar"/>
        </w:rPr>
        <w:t>2.</w:t>
      </w:r>
      <w:r>
        <w:rPr>
          <w:rFonts w:hint="default" w:ascii="Times New Roman" w:hAnsi="Times New Roman" w:eastAsia="仿宋_GB2312" w:cs="Times New Roman"/>
          <w:b/>
          <w:bCs w:val="0"/>
          <w:color w:val="auto"/>
          <w:kern w:val="0"/>
          <w:sz w:val="32"/>
          <w:szCs w:val="32"/>
          <w:highlight w:val="none"/>
          <w:lang w:val="en-US" w:eastAsia="zh-CN" w:bidi="ar"/>
        </w:rPr>
        <w:t>年度绩效目标</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仿宋_GB2312"/>
          <w:b w:val="0"/>
          <w:bCs w:val="0"/>
          <w:color w:val="auto"/>
          <w:kern w:val="0"/>
          <w:sz w:val="32"/>
          <w:szCs w:val="28"/>
          <w:highlight w:val="none"/>
          <w:lang w:val="en-US" w:eastAsia="zh-CN" w:bidi="ar-SA"/>
        </w:rPr>
      </w:pPr>
      <w:r>
        <w:rPr>
          <w:rFonts w:hint="default" w:ascii="Times New Roman" w:hAnsi="Times New Roman" w:eastAsia="仿宋_GB2312" w:cs="仿宋_GB2312"/>
          <w:b w:val="0"/>
          <w:bCs w:val="0"/>
          <w:color w:val="auto"/>
          <w:kern w:val="0"/>
          <w:sz w:val="32"/>
          <w:szCs w:val="28"/>
          <w:highlight w:val="none"/>
          <w:lang w:val="en-US" w:eastAsia="zh-CN" w:bidi="ar-SA"/>
        </w:rPr>
        <w:t>根据吐鲁番市文化体育广播电视和旅游局提供的《吐鲁番市文化和旅游业高质量发展奖励办法资金项目绩效目标表》，</w:t>
      </w:r>
      <w:bookmarkStart w:id="6" w:name="_Toc1845"/>
      <w:r>
        <w:rPr>
          <w:rFonts w:hint="default" w:ascii="Times New Roman" w:hAnsi="Times New Roman" w:eastAsia="仿宋_GB2312" w:cs="仿宋_GB2312"/>
          <w:b w:val="0"/>
          <w:bCs w:val="0"/>
          <w:color w:val="auto"/>
          <w:kern w:val="0"/>
          <w:sz w:val="32"/>
          <w:szCs w:val="28"/>
          <w:highlight w:val="none"/>
          <w:lang w:val="en-US" w:eastAsia="zh-CN" w:bidi="ar-SA"/>
        </w:rPr>
        <w:t>本项目年度绩效目标如下：</w:t>
      </w:r>
      <w:bookmarkEnd w:id="6"/>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442" w:firstLineChars="200"/>
        <w:jc w:val="both"/>
        <w:textAlignment w:val="auto"/>
        <w:outlineLvl w:val="9"/>
        <w:rPr>
          <w:rFonts w:hint="eastAsia" w:ascii="Times New Roman" w:hAnsi="Times New Roman" w:eastAsia="仿宋_GB2312"/>
          <w:b/>
          <w:bCs/>
          <w:kern w:val="0"/>
          <w:sz w:val="24"/>
        </w:rPr>
      </w:pPr>
      <w:r>
        <w:rPr>
          <w:rFonts w:hint="eastAsia" w:ascii="Times New Roman" w:hAnsi="Times New Roman" w:eastAsia="仿宋_GB2312"/>
          <w:b/>
          <w:bCs/>
          <w:kern w:val="0"/>
          <w:sz w:val="22"/>
          <w:szCs w:val="22"/>
        </w:rPr>
        <w:t>表</w:t>
      </w:r>
      <w:r>
        <w:rPr>
          <w:rFonts w:hint="eastAsia" w:ascii="Times New Roman" w:hAnsi="Times New Roman" w:eastAsia="仿宋_GB2312"/>
          <w:b/>
          <w:bCs/>
          <w:kern w:val="0"/>
          <w:sz w:val="24"/>
        </w:rPr>
        <w:t>1-</w:t>
      </w:r>
      <w:r>
        <w:rPr>
          <w:rFonts w:ascii="Times New Roman" w:hAnsi="Times New Roman" w:eastAsia="仿宋_GB2312"/>
          <w:b/>
          <w:bCs/>
          <w:kern w:val="0"/>
          <w:sz w:val="24"/>
        </w:rPr>
        <w:t>1</w:t>
      </w:r>
      <w:r>
        <w:rPr>
          <w:rFonts w:hint="eastAsia" w:ascii="Times New Roman" w:hAnsi="Times New Roman" w:eastAsia="仿宋_GB2312"/>
          <w:b/>
          <w:bCs/>
          <w:kern w:val="0"/>
          <w:sz w:val="24"/>
          <w:lang w:val="en-US" w:eastAsia="zh-CN"/>
        </w:rPr>
        <w:t xml:space="preserve">  </w:t>
      </w:r>
      <w:r>
        <w:rPr>
          <w:rFonts w:hint="eastAsia" w:ascii="Times New Roman" w:hAnsi="Times New Roman" w:eastAsia="仿宋_GB2312"/>
          <w:b/>
          <w:bCs/>
          <w:kern w:val="0"/>
          <w:sz w:val="22"/>
          <w:szCs w:val="22"/>
          <w:lang w:val="en-US" w:eastAsia="zh-CN"/>
        </w:rPr>
        <w:t>吐鲁番市文化和旅游业高质量发展奖励办法资金项目</w:t>
      </w:r>
      <w:r>
        <w:rPr>
          <w:rFonts w:hint="eastAsia" w:ascii="Times New Roman" w:hAnsi="Times New Roman" w:eastAsia="仿宋_GB2312"/>
          <w:b/>
          <w:bCs/>
          <w:kern w:val="0"/>
          <w:sz w:val="22"/>
          <w:szCs w:val="22"/>
        </w:rPr>
        <w:t>绩效目标表</w:t>
      </w:r>
    </w:p>
    <w:tbl>
      <w:tblPr>
        <w:tblStyle w:val="11"/>
        <w:tblW w:w="4896" w:type="pct"/>
        <w:jc w:val="center"/>
        <w:tblLayout w:type="autofit"/>
        <w:tblCellMar>
          <w:top w:w="0" w:type="dxa"/>
          <w:left w:w="108" w:type="dxa"/>
          <w:bottom w:w="0" w:type="dxa"/>
          <w:right w:w="108" w:type="dxa"/>
        </w:tblCellMar>
      </w:tblPr>
      <w:tblGrid>
        <w:gridCol w:w="1871"/>
        <w:gridCol w:w="2391"/>
        <w:gridCol w:w="4083"/>
      </w:tblGrid>
      <w:tr>
        <w:tblPrEx>
          <w:tblCellMar>
            <w:top w:w="0" w:type="dxa"/>
            <w:left w:w="108" w:type="dxa"/>
            <w:bottom w:w="0" w:type="dxa"/>
            <w:right w:w="108" w:type="dxa"/>
          </w:tblCellMar>
        </w:tblPrEx>
        <w:trPr>
          <w:cantSplit/>
          <w:trHeight w:val="379" w:hRule="atLeast"/>
          <w:tblHeader/>
          <w:jc w:val="center"/>
        </w:trPr>
        <w:tc>
          <w:tcPr>
            <w:tcW w:w="1121"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一级指标</w:t>
            </w:r>
          </w:p>
        </w:tc>
        <w:tc>
          <w:tcPr>
            <w:tcW w:w="1432" w:type="pct"/>
            <w:tcBorders>
              <w:top w:val="single" w:color="auto" w:sz="4" w:space="0"/>
              <w:left w:val="nil"/>
              <w:bottom w:val="single" w:color="auto" w:sz="4" w:space="0"/>
              <w:right w:val="single" w:color="auto"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snapToGrid/>
              <w:spacing w:line="560" w:lineRule="exact"/>
              <w:ind w:firstLine="442" w:firstLineChars="200"/>
              <w:jc w:val="center"/>
              <w:textAlignment w:val="auto"/>
              <w:outlineLvl w:val="9"/>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二级指标</w:t>
            </w:r>
          </w:p>
        </w:tc>
        <w:tc>
          <w:tcPr>
            <w:tcW w:w="2446" w:type="pct"/>
            <w:tcBorders>
              <w:top w:val="single" w:color="auto" w:sz="4" w:space="0"/>
              <w:left w:val="nil"/>
              <w:bottom w:val="single" w:color="auto" w:sz="4" w:space="0"/>
              <w:right w:val="single" w:color="auto"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snapToGrid/>
              <w:spacing w:line="560" w:lineRule="exact"/>
              <w:ind w:firstLine="442" w:firstLineChars="200"/>
              <w:jc w:val="center"/>
              <w:textAlignment w:val="auto"/>
              <w:outlineLvl w:val="9"/>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三级指标</w:t>
            </w:r>
          </w:p>
        </w:tc>
      </w:tr>
      <w:tr>
        <w:tblPrEx>
          <w:tblCellMar>
            <w:top w:w="0" w:type="dxa"/>
            <w:left w:w="108" w:type="dxa"/>
            <w:bottom w:w="0" w:type="dxa"/>
            <w:right w:w="108" w:type="dxa"/>
          </w:tblCellMar>
        </w:tblPrEx>
        <w:trPr>
          <w:trHeight w:val="90" w:hRule="atLeast"/>
          <w:jc w:val="center"/>
        </w:trPr>
        <w:tc>
          <w:tcPr>
            <w:tcW w:w="1121"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产出指标</w:t>
            </w:r>
          </w:p>
        </w:tc>
        <w:tc>
          <w:tcPr>
            <w:tcW w:w="143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数量指标</w:t>
            </w:r>
          </w:p>
        </w:tc>
        <w:tc>
          <w:tcPr>
            <w:tcW w:w="2446"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2023年奖励团体个人数量</w:t>
            </w:r>
          </w:p>
        </w:tc>
      </w:tr>
      <w:tr>
        <w:tblPrEx>
          <w:tblCellMar>
            <w:top w:w="0" w:type="dxa"/>
            <w:left w:w="108" w:type="dxa"/>
            <w:bottom w:w="0" w:type="dxa"/>
            <w:right w:w="108" w:type="dxa"/>
          </w:tblCellMar>
        </w:tblPrEx>
        <w:trPr>
          <w:trHeight w:val="660" w:hRule="atLeast"/>
          <w:jc w:val="center"/>
        </w:trPr>
        <w:tc>
          <w:tcPr>
            <w:tcW w:w="1121"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143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2446"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default" w:ascii="Times New Roman" w:hAnsi="Times New Roman" w:eastAsia="仿宋_GB2312" w:cs="Times New Roman"/>
                <w:color w:val="000000"/>
                <w:kern w:val="2"/>
                <w:sz w:val="22"/>
                <w:szCs w:val="22"/>
                <w:highlight w:val="none"/>
                <w:u w:val="none"/>
                <w:lang w:val="en-US" w:eastAsia="zh-CN" w:bidi="ar-SA"/>
              </w:rPr>
              <w:t>2020年奖励团体个人数量</w:t>
            </w:r>
          </w:p>
        </w:tc>
      </w:tr>
      <w:tr>
        <w:tblPrEx>
          <w:tblCellMar>
            <w:top w:w="0" w:type="dxa"/>
            <w:left w:w="108" w:type="dxa"/>
            <w:bottom w:w="0" w:type="dxa"/>
            <w:right w:w="108" w:type="dxa"/>
          </w:tblCellMar>
        </w:tblPrEx>
        <w:trPr>
          <w:trHeight w:val="585" w:hRule="atLeast"/>
          <w:jc w:val="center"/>
        </w:trPr>
        <w:tc>
          <w:tcPr>
            <w:tcW w:w="1121"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1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质量指标</w:t>
            </w:r>
          </w:p>
        </w:tc>
        <w:tc>
          <w:tcPr>
            <w:tcW w:w="2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val="en-US" w:eastAsia="zh-CN" w:bidi="ar-SA"/>
              </w:rPr>
              <w:t>奖励资金发放合规率</w:t>
            </w:r>
          </w:p>
        </w:tc>
      </w:tr>
      <w:tr>
        <w:tblPrEx>
          <w:tblCellMar>
            <w:top w:w="0" w:type="dxa"/>
            <w:left w:w="108" w:type="dxa"/>
            <w:bottom w:w="0" w:type="dxa"/>
            <w:right w:w="108" w:type="dxa"/>
          </w:tblCellMar>
        </w:tblPrEx>
        <w:trPr>
          <w:trHeight w:val="576" w:hRule="atLeast"/>
          <w:jc w:val="center"/>
        </w:trPr>
        <w:tc>
          <w:tcPr>
            <w:tcW w:w="112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1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时效指标</w:t>
            </w:r>
          </w:p>
        </w:tc>
        <w:tc>
          <w:tcPr>
            <w:tcW w:w="2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default" w:ascii="Times New Roman" w:hAnsi="Times New Roman" w:eastAsia="仿宋_GB2312" w:cs="Times New Roman"/>
                <w:color w:val="000000"/>
                <w:kern w:val="2"/>
                <w:sz w:val="22"/>
                <w:szCs w:val="22"/>
                <w:highlight w:val="none"/>
                <w:u w:val="none"/>
                <w:lang w:val="en-US" w:eastAsia="zh-CN" w:bidi="ar-SA"/>
              </w:rPr>
              <w:t>奖励金按时发放率</w:t>
            </w:r>
          </w:p>
        </w:tc>
      </w:tr>
      <w:tr>
        <w:tblPrEx>
          <w:tblCellMar>
            <w:top w:w="0" w:type="dxa"/>
            <w:left w:w="108" w:type="dxa"/>
            <w:bottom w:w="0" w:type="dxa"/>
            <w:right w:w="108" w:type="dxa"/>
          </w:tblCellMar>
        </w:tblPrEx>
        <w:trPr>
          <w:trHeight w:val="523" w:hRule="atLeast"/>
          <w:jc w:val="center"/>
        </w:trPr>
        <w:tc>
          <w:tcPr>
            <w:tcW w:w="1121"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1432" w:type="pct"/>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成本指标</w:t>
            </w:r>
          </w:p>
        </w:tc>
        <w:tc>
          <w:tcPr>
            <w:tcW w:w="2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eastAsia" w:ascii="Times New Roman" w:hAnsi="Times New Roman" w:eastAsia="仿宋_GB2312" w:cs="Times New Roman"/>
                <w:color w:val="000000"/>
                <w:kern w:val="2"/>
                <w:sz w:val="22"/>
                <w:szCs w:val="22"/>
                <w:highlight w:val="none"/>
                <w:u w:val="none"/>
                <w:lang w:val="en-US" w:eastAsia="zh-CN" w:bidi="ar-SA"/>
              </w:rPr>
              <w:t>2023年奖励资金成本</w:t>
            </w:r>
          </w:p>
        </w:tc>
      </w:tr>
      <w:tr>
        <w:tblPrEx>
          <w:tblCellMar>
            <w:top w:w="0" w:type="dxa"/>
            <w:left w:w="108" w:type="dxa"/>
            <w:bottom w:w="0" w:type="dxa"/>
            <w:right w:w="108" w:type="dxa"/>
          </w:tblCellMar>
        </w:tblPrEx>
        <w:trPr>
          <w:trHeight w:val="523" w:hRule="atLeast"/>
          <w:jc w:val="center"/>
        </w:trPr>
        <w:tc>
          <w:tcPr>
            <w:tcW w:w="112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1432" w:type="pct"/>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p>
        </w:tc>
        <w:tc>
          <w:tcPr>
            <w:tcW w:w="2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default" w:ascii="Times New Roman" w:hAnsi="Times New Roman" w:eastAsia="仿宋_GB2312" w:cs="Times New Roman"/>
                <w:color w:val="000000"/>
                <w:kern w:val="2"/>
                <w:sz w:val="22"/>
                <w:szCs w:val="22"/>
                <w:highlight w:val="none"/>
                <w:u w:val="none"/>
                <w:lang w:val="en-US" w:eastAsia="zh-CN" w:bidi="ar-SA"/>
              </w:rPr>
              <w:t>2020年奖励资金成本</w:t>
            </w:r>
          </w:p>
        </w:tc>
      </w:tr>
      <w:tr>
        <w:tblPrEx>
          <w:tblCellMar>
            <w:top w:w="0" w:type="dxa"/>
            <w:left w:w="108" w:type="dxa"/>
            <w:bottom w:w="0" w:type="dxa"/>
            <w:right w:w="108" w:type="dxa"/>
          </w:tblCellMar>
        </w:tblPrEx>
        <w:trPr>
          <w:trHeight w:val="662" w:hRule="atLeast"/>
          <w:jc w:val="center"/>
        </w:trPr>
        <w:tc>
          <w:tcPr>
            <w:tcW w:w="11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效益指标</w:t>
            </w:r>
          </w:p>
        </w:tc>
        <w:tc>
          <w:tcPr>
            <w:tcW w:w="143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val="en-US" w:eastAsia="zh-CN" w:bidi="ar-SA"/>
              </w:rPr>
              <w:t>社会</w:t>
            </w:r>
            <w:r>
              <w:rPr>
                <w:rFonts w:hint="default" w:ascii="Times New Roman" w:hAnsi="Times New Roman" w:eastAsia="仿宋_GB2312" w:cs="Times New Roman"/>
                <w:color w:val="000000"/>
                <w:kern w:val="2"/>
                <w:sz w:val="22"/>
                <w:szCs w:val="22"/>
                <w:highlight w:val="none"/>
                <w:u w:val="none"/>
                <w:lang w:bidi="ar-SA"/>
              </w:rPr>
              <w:t>效益指标</w:t>
            </w:r>
          </w:p>
        </w:tc>
        <w:tc>
          <w:tcPr>
            <w:tcW w:w="2446"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default" w:ascii="Times New Roman" w:hAnsi="Times New Roman" w:eastAsia="仿宋_GB2312" w:cs="Times New Roman"/>
                <w:color w:val="000000"/>
                <w:kern w:val="2"/>
                <w:sz w:val="22"/>
                <w:szCs w:val="22"/>
                <w:highlight w:val="none"/>
                <w:u w:val="none"/>
                <w:lang w:val="en-US" w:eastAsia="zh-CN" w:bidi="ar-SA"/>
              </w:rPr>
              <w:t>推动文化和旅游产业高质量发展</w:t>
            </w:r>
          </w:p>
        </w:tc>
      </w:tr>
      <w:tr>
        <w:tblPrEx>
          <w:tblCellMar>
            <w:top w:w="0" w:type="dxa"/>
            <w:left w:w="108" w:type="dxa"/>
            <w:bottom w:w="0" w:type="dxa"/>
            <w:right w:w="108" w:type="dxa"/>
          </w:tblCellMar>
        </w:tblPrEx>
        <w:trPr>
          <w:trHeight w:val="728" w:hRule="atLeast"/>
          <w:jc w:val="center"/>
        </w:trPr>
        <w:tc>
          <w:tcPr>
            <w:tcW w:w="11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满意度指标</w:t>
            </w:r>
          </w:p>
        </w:tc>
        <w:tc>
          <w:tcPr>
            <w:tcW w:w="1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满意度指标</w:t>
            </w:r>
          </w:p>
        </w:tc>
        <w:tc>
          <w:tcPr>
            <w:tcW w:w="24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560" w:lineRule="exact"/>
              <w:ind w:firstLine="440" w:firstLineChars="200"/>
              <w:jc w:val="center"/>
              <w:textAlignment w:val="auto"/>
              <w:outlineLvl w:val="9"/>
              <w:rPr>
                <w:rFonts w:hint="default" w:ascii="Times New Roman" w:hAnsi="Times New Roman" w:eastAsia="仿宋_GB2312" w:cs="Times New Roman"/>
                <w:color w:val="000000"/>
                <w:kern w:val="2"/>
                <w:sz w:val="22"/>
                <w:szCs w:val="22"/>
                <w:highlight w:val="none"/>
                <w:u w:val="none"/>
                <w:lang w:val="en-US" w:eastAsia="zh-CN" w:bidi="ar-SA"/>
              </w:rPr>
            </w:pPr>
            <w:r>
              <w:rPr>
                <w:rFonts w:hint="default" w:ascii="Times New Roman" w:hAnsi="Times New Roman" w:eastAsia="仿宋_GB2312" w:cs="Times New Roman"/>
                <w:color w:val="000000"/>
                <w:kern w:val="2"/>
                <w:sz w:val="22"/>
                <w:szCs w:val="22"/>
                <w:highlight w:val="none"/>
                <w:u w:val="none"/>
                <w:lang w:val="en-US" w:eastAsia="zh-CN" w:bidi="ar-SA"/>
              </w:rPr>
              <w:t>奖补方满意度</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keepNext w:val="0"/>
        <w:keepLines w:val="0"/>
        <w:pageBreakBefore w:val="0"/>
        <w:widowControl/>
        <w:kinsoku/>
        <w:wordWrap/>
        <w:overflowPunct/>
        <w:topLinePunct w:val="0"/>
        <w:autoSpaceDE/>
        <w:autoSpaceDN/>
        <w:bidi w:val="0"/>
        <w:adjustRightInd/>
        <w:snapToGrid/>
        <w:spacing w:line="560" w:lineRule="exact"/>
        <w:ind w:firstLine="66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bidi="ar"/>
        </w:rPr>
        <w:t>运用由评价组研发并通过</w:t>
      </w:r>
      <w:r>
        <w:rPr>
          <w:rFonts w:hint="eastAsia" w:ascii="Times New Roman" w:hAnsi="Times New Roman" w:eastAsia="仿宋_GB2312" w:cs="仿宋_GB2312"/>
          <w:color w:val="auto"/>
          <w:spacing w:val="6"/>
          <w:kern w:val="0"/>
          <w:sz w:val="32"/>
          <w:szCs w:val="32"/>
          <w:highlight w:val="none"/>
          <w:lang w:val="en-US" w:eastAsia="zh-CN" w:bidi="ar"/>
        </w:rPr>
        <w:t>被评价</w:t>
      </w:r>
      <w:r>
        <w:rPr>
          <w:rFonts w:hint="eastAsia" w:ascii="Times New Roman" w:hAnsi="Times New Roman" w:eastAsia="仿宋_GB2312" w:cs="仿宋_GB2312"/>
          <w:color w:val="auto"/>
          <w:spacing w:val="6"/>
          <w:kern w:val="0"/>
          <w:sz w:val="32"/>
          <w:szCs w:val="32"/>
          <w:highlight w:val="none"/>
          <w:lang w:bidi="ar"/>
        </w:rPr>
        <w:t>单位确认的评价指标体系及评分标准，通过基础数据填报和访谈获取的数据及项目单位提供的资料，评价组对</w:t>
      </w:r>
      <w:r>
        <w:rPr>
          <w:rFonts w:hint="default" w:ascii="Times New Roman" w:hAnsi="Times New Roman" w:eastAsia="仿宋_GB2312" w:cs="Times New Roman"/>
          <w:b w:val="0"/>
          <w:bCs/>
          <w:color w:val="auto"/>
          <w:kern w:val="0"/>
          <w:sz w:val="32"/>
          <w:szCs w:val="32"/>
          <w:highlight w:val="none"/>
          <w:lang w:val="en-US" w:eastAsia="zh-CN" w:bidi="ar"/>
        </w:rPr>
        <w:t>吐鲁番市文化和旅游业高质量发展奖励办法资金项目</w:t>
      </w:r>
      <w:r>
        <w:rPr>
          <w:rFonts w:hint="eastAsia" w:ascii="Times New Roman" w:hAnsi="Times New Roman" w:eastAsia="仿宋_GB2312" w:cs="仿宋_GB2312"/>
          <w:color w:val="auto"/>
          <w:spacing w:val="6"/>
          <w:kern w:val="0"/>
          <w:sz w:val="32"/>
          <w:szCs w:val="32"/>
          <w:highlight w:val="none"/>
          <w:lang w:bidi="ar"/>
        </w:rPr>
        <w:t>进行了独立客观的评价，最终评分结果为</w:t>
      </w:r>
      <w:r>
        <w:rPr>
          <w:rFonts w:hint="eastAsia" w:ascii="Times New Roman" w:hAnsi="Times New Roman" w:eastAsia="仿宋_GB2312" w:cs="仿宋_GB2312"/>
          <w:color w:val="auto"/>
          <w:spacing w:val="6"/>
          <w:kern w:val="0"/>
          <w:sz w:val="32"/>
          <w:szCs w:val="32"/>
          <w:highlight w:val="none"/>
          <w:lang w:val="en-US" w:eastAsia="zh-CN" w:bidi="ar"/>
        </w:rPr>
        <w:t>99.67</w:t>
      </w:r>
      <w:r>
        <w:rPr>
          <w:rFonts w:hint="eastAsia" w:ascii="Times New Roman" w:hAnsi="Times New Roman" w:eastAsia="仿宋_GB2312" w:cs="仿宋_GB2312"/>
          <w:color w:val="auto"/>
          <w:spacing w:val="6"/>
          <w:kern w:val="0"/>
          <w:sz w:val="32"/>
          <w:szCs w:val="32"/>
          <w:highlight w:val="none"/>
          <w:lang w:bidi="ar"/>
        </w:rPr>
        <w:t>分，评价等级为“</w:t>
      </w:r>
      <w:r>
        <w:rPr>
          <w:rFonts w:hint="eastAsia" w:ascii="Times New Roman" w:hAnsi="Times New Roman" w:eastAsia="仿宋_GB2312" w:cs="仿宋_GB2312"/>
          <w:color w:val="auto"/>
          <w:spacing w:val="6"/>
          <w:kern w:val="0"/>
          <w:sz w:val="32"/>
          <w:szCs w:val="32"/>
          <w:highlight w:val="none"/>
          <w:lang w:val="en-US" w:eastAsia="zh-CN" w:bidi="ar"/>
        </w:rPr>
        <w:t>优</w:t>
      </w:r>
      <w:r>
        <w:rPr>
          <w:rFonts w:hint="eastAsia" w:ascii="Times New Roman" w:hAnsi="Times New Roman" w:eastAsia="仿宋_GB2312" w:cs="仿宋_GB2312"/>
          <w:color w:val="auto"/>
          <w:spacing w:val="6"/>
          <w:kern w:val="0"/>
          <w:sz w:val="32"/>
          <w:szCs w:val="32"/>
          <w:highlight w:val="none"/>
          <w:lang w:bidi="ar"/>
        </w:rPr>
        <w:t>”</w:t>
      </w:r>
      <w:r>
        <w:rPr>
          <w:rFonts w:hint="eastAsia" w:ascii="Times New Roman" w:hAnsi="Times New Roman" w:eastAsia="仿宋_GB2312" w:cs="仿宋_GB2312"/>
          <w:color w:val="auto"/>
          <w:spacing w:val="6"/>
          <w:kern w:val="0"/>
          <w:sz w:val="32"/>
          <w:szCs w:val="32"/>
          <w:highlight w:val="none"/>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bidi="ar"/>
        </w:rPr>
        <w:t>吐鲁番市文化和旅游业高质量发展奖励办法资金项目</w:t>
      </w:r>
      <w:r>
        <w:rPr>
          <w:rFonts w:hint="default" w:ascii="Times New Roman" w:hAnsi="Times New Roman" w:eastAsia="仿宋_GB2312" w:cs="Times New Roman"/>
          <w:b w:val="0"/>
          <w:bCs w:val="0"/>
          <w:color w:val="auto"/>
          <w:sz w:val="32"/>
          <w:szCs w:val="32"/>
          <w:highlight w:val="none"/>
          <w:lang w:val="en-US" w:eastAsia="zh-CN"/>
        </w:rPr>
        <w:t>总投资</w:t>
      </w:r>
      <w:r>
        <w:rPr>
          <w:rFonts w:hint="eastAsia" w:ascii="Times New Roman" w:hAnsi="Times New Roman" w:eastAsia="仿宋_GB2312" w:cs="Times New Roman"/>
          <w:b w:val="0"/>
          <w:bCs w:val="0"/>
          <w:color w:val="auto"/>
          <w:sz w:val="32"/>
          <w:szCs w:val="32"/>
          <w:highlight w:val="none"/>
          <w:lang w:val="en-US" w:eastAsia="zh-CN"/>
        </w:rPr>
        <w:t>77.5</w:t>
      </w:r>
      <w:r>
        <w:rPr>
          <w:rFonts w:hint="default" w:ascii="Times New Roman" w:hAnsi="Times New Roman" w:eastAsia="仿宋_GB2312" w:cs="Times New Roman"/>
          <w:b w:val="0"/>
          <w:bCs w:val="0"/>
          <w:color w:val="auto"/>
          <w:sz w:val="32"/>
          <w:szCs w:val="32"/>
          <w:highlight w:val="none"/>
          <w:lang w:val="en-US" w:eastAsia="zh-CN"/>
        </w:rPr>
        <w:t>万元，202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年实际到位</w:t>
      </w:r>
      <w:r>
        <w:rPr>
          <w:rFonts w:hint="eastAsia" w:ascii="Times New Roman" w:hAnsi="Times New Roman" w:eastAsia="仿宋_GB2312" w:cs="Times New Roman"/>
          <w:b w:val="0"/>
          <w:bCs w:val="0"/>
          <w:color w:val="auto"/>
          <w:sz w:val="32"/>
          <w:szCs w:val="32"/>
          <w:highlight w:val="none"/>
          <w:lang w:val="en-US" w:eastAsia="zh-CN"/>
        </w:rPr>
        <w:t>市本级财政资金77.5</w:t>
      </w:r>
      <w:r>
        <w:rPr>
          <w:rFonts w:hint="default" w:ascii="Times New Roman" w:hAnsi="Times New Roman" w:eastAsia="仿宋_GB2312" w:cs="Times New Roman"/>
          <w:b w:val="0"/>
          <w:bCs w:val="0"/>
          <w:color w:val="auto"/>
          <w:sz w:val="32"/>
          <w:szCs w:val="32"/>
          <w:highlight w:val="none"/>
          <w:lang w:val="en-US" w:eastAsia="zh-CN"/>
        </w:rPr>
        <w:t>万元，</w:t>
      </w:r>
      <w:r>
        <w:rPr>
          <w:rFonts w:hint="eastAsia" w:ascii="Times New Roman" w:hAnsi="Times New Roman" w:eastAsia="仿宋_GB2312" w:cs="Times New Roman"/>
          <w:b w:val="0"/>
          <w:bCs w:val="0"/>
          <w:color w:val="auto"/>
          <w:sz w:val="32"/>
          <w:szCs w:val="32"/>
          <w:highlight w:val="none"/>
          <w:lang w:val="en-US" w:eastAsia="zh-CN"/>
        </w:rPr>
        <w:t>资金到位率100%。</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年实际支出</w:t>
      </w:r>
      <w:r>
        <w:rPr>
          <w:rFonts w:hint="eastAsia" w:ascii="Times New Roman" w:hAnsi="Times New Roman" w:eastAsia="仿宋_GB2312" w:cs="Times New Roman"/>
          <w:b w:val="0"/>
          <w:bCs w:val="0"/>
          <w:color w:val="auto"/>
          <w:sz w:val="32"/>
          <w:szCs w:val="32"/>
          <w:highlight w:val="none"/>
          <w:lang w:val="en-US" w:eastAsia="zh-CN"/>
        </w:rPr>
        <w:t>77.5</w:t>
      </w:r>
      <w:r>
        <w:rPr>
          <w:rFonts w:hint="default" w:ascii="Times New Roman" w:hAnsi="Times New Roman" w:eastAsia="仿宋_GB2312" w:cs="Times New Roman"/>
          <w:b w:val="0"/>
          <w:bCs w:val="0"/>
          <w:color w:val="auto"/>
          <w:sz w:val="32"/>
          <w:szCs w:val="32"/>
          <w:highlight w:val="none"/>
          <w:lang w:val="en-US" w:eastAsia="zh-CN"/>
        </w:rPr>
        <w:t>万元，预算执行率100%。</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pP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深入贯彻落实党的二十大精神，贯彻落实习近平总书记视察新疆特别是吐鲁番时的重要讲话、重要指示精神，完整准确贯彻新时代党的治疆方略，全面落实自治区、市旅游发展大会精神，按照市委“1535”工作思路要求，深入实施“文旅兴市”战略，以优惠政策调动旅游市场营销与客源招徕的积极性和主动性，做大游客总量，拉动旅游综合消费，助推文化旅游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2024年完成了2023年8月10日至2024年8月10日《吐鲁番市推动文化和旅游业高质量发展奖励办法》奖励资金及2020年《吐鲁番市旅游优惠政策》奖补资金兑现工作。对符合条件的自治区级夜间文化和旅游消费集聚区发放奖补资金20万元、国家3A级旅游景区发放奖补资金20万元、星级农家乐发放奖补资金4万元、短视频奖励发放奖补资金3.5万元，专列组团发放奖补资金25万元、“湖南人游吐鲁番”组团发放奖补资金5万元</w:t>
      </w:r>
      <w:bookmarkStart w:id="10" w:name="_GoBack"/>
      <w:bookmarkEnd w:id="10"/>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项目的实施有效统筹了本地区集聚区的建设工作，强化了政策保障措施，完善了相关支持举措，并积极指导集聚区进行提质升级，进一步丰富了文化和旅游产品供给，促进了文化和旅游产业的深度融合发展，并积极培育了新的消费业态和消费场景，举办消费惠民活动，提升服务质量，保障安全和秩序，营造良好消费环境，推动文化和旅游经济高质量发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pP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强化文旅产业发展顶层设计。坚持下位规划服从上位规划、下级规划服从上级规划、等位规划相互协调的原则，以《文旅部“十四五”文化和旅游发展规划》《新疆维吾尔自治区文化和旅游发展第十四个五年规划》等上位规划为统领，以《吐鲁番市全域旅游发展规划》《吐鲁番市“十四五”文化和旅游发展规划》等规划为基础，以文化和旅游融合发展、旅游目的地营销、乡村旅游发展、康养旅游、夜间经济发展、旅游产品开发等专项规划、区域规划为支撑，准确把握《新疆维吾尔自治区旅游促进条例》等文化和旅游政策法规和意见条例，科学编制《吐鲁番市文化和旅游发展总体规划》，实现“多规融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pP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践行市委</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1535</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工作思路，为大力实施</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文旅兴市</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战略，培育壮大文化和旅游产业，繁荣文化和旅游事业，建设文化和旅游强市，</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吐鲁番</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市制定发布《吐鲁番市推动文化和旅游业高质量发展奖励办法》</w:t>
      </w:r>
      <w:r>
        <w:rPr>
          <w:rStyle w:val="13"/>
          <w:rFonts w:hint="eastAsia" w:ascii="Times New Roman" w:hAnsi="Times New Roman" w:eastAsia="仿宋_GB2312" w:cs="仿宋_GB2312"/>
          <w:b w:val="0"/>
          <w:i w:val="0"/>
          <w:caps w:val="0"/>
          <w:color w:val="auto"/>
          <w:spacing w:val="6"/>
          <w:w w:val="100"/>
          <w:kern w:val="0"/>
          <w:sz w:val="32"/>
          <w:szCs w:val="32"/>
          <w:highlight w:val="none"/>
          <w:lang w:val="en-US" w:eastAsia="zh-CN" w:bidi="ar"/>
        </w:rPr>
        <w:t>，</w:t>
      </w:r>
      <w:r>
        <w:rPr>
          <w:rStyle w:val="13"/>
          <w:rFonts w:hint="default" w:ascii="Times New Roman" w:hAnsi="Times New Roman" w:eastAsia="仿宋_GB2312" w:cs="仿宋_GB2312"/>
          <w:b w:val="0"/>
          <w:i w:val="0"/>
          <w:caps w:val="0"/>
          <w:color w:val="auto"/>
          <w:spacing w:val="6"/>
          <w:w w:val="100"/>
          <w:kern w:val="0"/>
          <w:sz w:val="32"/>
          <w:szCs w:val="32"/>
          <w:highlight w:val="none"/>
          <w:lang w:val="en-US" w:eastAsia="zh-CN" w:bidi="ar"/>
        </w:rPr>
        <w:t>有效期为3年。为做好奖励资金兑现工作，成立由市领导为组长，相关单位为成员的奖励办法审核领导小组，负责统筹推进奖励办法兑现工作。</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bCs/>
          <w:color w:val="auto"/>
          <w:kern w:val="0"/>
          <w:sz w:val="32"/>
          <w:szCs w:val="32"/>
          <w:highlight w:val="none"/>
          <w:lang w:val="en-US" w:eastAsia="zh-CN" w:bidi="en-US"/>
        </w:rPr>
      </w:pPr>
      <w:r>
        <w:rPr>
          <w:rFonts w:hint="eastAsia" w:ascii="Times New Roman" w:hAnsi="Times New Roman" w:eastAsia="仿宋_GB2312" w:cs="Times New Roman"/>
          <w:b/>
          <w:bCs/>
          <w:color w:val="auto"/>
          <w:kern w:val="0"/>
          <w:sz w:val="32"/>
          <w:szCs w:val="32"/>
          <w:highlight w:val="none"/>
          <w:lang w:val="en-US" w:eastAsia="zh-CN" w:bidi="en-US"/>
        </w:rPr>
        <w:t>1</w:t>
      </w:r>
      <w:r>
        <w:rPr>
          <w:rFonts w:hint="default" w:ascii="Times New Roman" w:hAnsi="Times New Roman" w:eastAsia="仿宋_GB2312" w:cs="Times New Roman"/>
          <w:b/>
          <w:bCs/>
          <w:color w:val="auto"/>
          <w:kern w:val="0"/>
          <w:sz w:val="32"/>
          <w:szCs w:val="32"/>
          <w:highlight w:val="none"/>
          <w:lang w:val="en-US" w:eastAsia="zh-CN" w:bidi="en-US"/>
        </w:rPr>
        <w:t>.目标设置不完整</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en-US"/>
        </w:rPr>
      </w:pPr>
      <w:r>
        <w:rPr>
          <w:rFonts w:hint="default" w:ascii="Times New Roman" w:hAnsi="Times New Roman" w:eastAsia="仿宋_GB2312" w:cs="Times New Roman"/>
          <w:b w:val="0"/>
          <w:bCs w:val="0"/>
          <w:color w:val="auto"/>
          <w:kern w:val="0"/>
          <w:sz w:val="32"/>
          <w:szCs w:val="32"/>
          <w:highlight w:val="none"/>
          <w:lang w:val="en-US" w:eastAsia="zh-CN" w:bidi="en-US"/>
        </w:rPr>
        <w:t>根据该项目绩效目标申报表，该项目设立了总目标和年度目标，项目年度目标明确、可衡量、可实现、与战略目标和总目标相关，但数量指标</w:t>
      </w:r>
      <w:r>
        <w:rPr>
          <w:rFonts w:hint="eastAsia" w:ascii="Times New Roman" w:hAnsi="Times New Roman" w:eastAsia="仿宋_GB2312" w:cs="Times New Roman"/>
          <w:b w:val="0"/>
          <w:bCs w:val="0"/>
          <w:color w:val="auto"/>
          <w:kern w:val="0"/>
          <w:sz w:val="32"/>
          <w:szCs w:val="32"/>
          <w:highlight w:val="none"/>
          <w:lang w:val="en-US" w:eastAsia="zh-CN" w:bidi="en-US"/>
        </w:rPr>
        <w:t>及质量指标</w:t>
      </w:r>
      <w:r>
        <w:rPr>
          <w:rFonts w:hint="default" w:ascii="Times New Roman" w:hAnsi="Times New Roman" w:eastAsia="仿宋_GB2312" w:cs="Times New Roman"/>
          <w:b w:val="0"/>
          <w:bCs w:val="0"/>
          <w:color w:val="auto"/>
          <w:kern w:val="0"/>
          <w:sz w:val="32"/>
          <w:szCs w:val="32"/>
          <w:highlight w:val="none"/>
          <w:lang w:val="en-US" w:eastAsia="zh-CN" w:bidi="en-US"/>
        </w:rPr>
        <w:t>设置存在三级指标设置不完整的问题，例如：可根据项目具体</w:t>
      </w:r>
      <w:r>
        <w:rPr>
          <w:rFonts w:hint="eastAsia" w:ascii="Times New Roman" w:hAnsi="Times New Roman" w:eastAsia="仿宋_GB2312" w:cs="Times New Roman"/>
          <w:b w:val="0"/>
          <w:bCs w:val="0"/>
          <w:color w:val="auto"/>
          <w:kern w:val="0"/>
          <w:sz w:val="32"/>
          <w:szCs w:val="32"/>
          <w:highlight w:val="none"/>
          <w:lang w:val="en-US" w:eastAsia="zh-CN" w:bidi="en-US"/>
        </w:rPr>
        <w:t>奖励类别增设</w:t>
      </w:r>
      <w:r>
        <w:rPr>
          <w:rFonts w:hint="default" w:ascii="Times New Roman" w:hAnsi="Times New Roman" w:eastAsia="仿宋_GB2312" w:cs="Times New Roman"/>
          <w:b w:val="0"/>
          <w:bCs w:val="0"/>
          <w:color w:val="auto"/>
          <w:kern w:val="0"/>
          <w:sz w:val="32"/>
          <w:szCs w:val="32"/>
          <w:highlight w:val="none"/>
          <w:lang w:val="en-US" w:eastAsia="zh-CN" w:bidi="en-US"/>
        </w:rPr>
        <w:t>“</w:t>
      </w:r>
      <w:r>
        <w:rPr>
          <w:rFonts w:hint="eastAsia" w:ascii="Times New Roman" w:hAnsi="Times New Roman" w:eastAsia="仿宋_GB2312" w:cs="Times New Roman"/>
          <w:b w:val="0"/>
          <w:bCs w:val="0"/>
          <w:color w:val="auto"/>
          <w:kern w:val="0"/>
          <w:sz w:val="32"/>
          <w:szCs w:val="32"/>
          <w:highlight w:val="none"/>
          <w:lang w:val="en-US" w:eastAsia="zh-CN" w:bidi="en-US"/>
        </w:rPr>
        <w:t>奖励类别</w:t>
      </w:r>
      <w:r>
        <w:rPr>
          <w:rFonts w:hint="default" w:ascii="Times New Roman" w:hAnsi="Times New Roman" w:eastAsia="仿宋_GB2312" w:cs="Times New Roman"/>
          <w:b w:val="0"/>
          <w:bCs w:val="0"/>
          <w:color w:val="auto"/>
          <w:kern w:val="0"/>
          <w:sz w:val="32"/>
          <w:szCs w:val="32"/>
          <w:highlight w:val="none"/>
          <w:lang w:val="en-US" w:eastAsia="zh-CN" w:bidi="en-US"/>
        </w:rPr>
        <w:t>”</w:t>
      </w:r>
      <w:r>
        <w:rPr>
          <w:rFonts w:hint="eastAsia" w:ascii="Times New Roman" w:hAnsi="Times New Roman" w:eastAsia="仿宋_GB2312" w:cs="Times New Roman"/>
          <w:b w:val="0"/>
          <w:bCs w:val="0"/>
          <w:color w:val="auto"/>
          <w:kern w:val="0"/>
          <w:sz w:val="32"/>
          <w:szCs w:val="32"/>
          <w:highlight w:val="none"/>
          <w:lang w:val="en-US" w:eastAsia="zh-CN" w:bidi="en-US"/>
        </w:rPr>
        <w:t>“奖励旅游企业资质达标率”</w:t>
      </w:r>
      <w:r>
        <w:rPr>
          <w:rFonts w:hint="default" w:ascii="Times New Roman" w:hAnsi="Times New Roman" w:eastAsia="仿宋_GB2312" w:cs="Times New Roman"/>
          <w:b w:val="0"/>
          <w:bCs w:val="0"/>
          <w:color w:val="auto"/>
          <w:kern w:val="0"/>
          <w:sz w:val="32"/>
          <w:szCs w:val="32"/>
          <w:highlight w:val="none"/>
          <w:lang w:val="en-US" w:eastAsia="zh-CN" w:bidi="en-US"/>
        </w:rPr>
        <w:t>等三级指标。</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bCs/>
          <w:color w:val="000000"/>
          <w:kern w:val="0"/>
          <w:sz w:val="32"/>
          <w:szCs w:val="32"/>
          <w:highlight w:val="none"/>
          <w:u w:val="none"/>
          <w:shd w:val="clear" w:color="auto" w:fill="auto"/>
          <w:lang w:val="en-US" w:eastAsia="zh-CN" w:bidi="ar"/>
        </w:rPr>
      </w:pPr>
      <w:r>
        <w:rPr>
          <w:rFonts w:hint="eastAsia" w:ascii="Times New Roman" w:hAnsi="Times New Roman" w:eastAsia="仿宋_GB2312" w:cs="Times New Roman"/>
          <w:b/>
          <w:bCs/>
          <w:color w:val="auto"/>
          <w:kern w:val="0"/>
          <w:sz w:val="32"/>
          <w:szCs w:val="32"/>
          <w:highlight w:val="none"/>
          <w:lang w:val="en-US" w:eastAsia="zh-CN" w:bidi="en-US"/>
        </w:rPr>
        <w:t>2.</w:t>
      </w:r>
      <w:r>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t>档案管理水平有待提高</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u w:val="none"/>
          <w:shd w:val="clear" w:color="auto" w:fill="auto"/>
          <w:lang w:val="en-US" w:eastAsia="zh-CN" w:bidi="ar"/>
        </w:rPr>
      </w:pPr>
      <w:r>
        <w:rPr>
          <w:rFonts w:hint="default" w:ascii="Times New Roman" w:hAnsi="Times New Roman" w:eastAsia="仿宋_GB2312" w:cs="Times New Roman"/>
          <w:color w:val="000000"/>
          <w:kern w:val="0"/>
          <w:sz w:val="32"/>
          <w:szCs w:val="32"/>
          <w:highlight w:val="none"/>
          <w:u w:val="none"/>
          <w:shd w:val="clear" w:color="auto" w:fill="auto"/>
          <w:lang w:val="en-US" w:eastAsia="zh-CN" w:bidi="ar"/>
        </w:rPr>
        <w:t>通过单位</w:t>
      </w:r>
      <w:r>
        <w:rPr>
          <w:rFonts w:hint="eastAsia" w:ascii="Times New Roman" w:hAnsi="Times New Roman" w:eastAsia="仿宋_GB2312" w:cs="Times New Roman"/>
          <w:color w:val="000000"/>
          <w:kern w:val="0"/>
          <w:sz w:val="32"/>
          <w:szCs w:val="32"/>
          <w:highlight w:val="none"/>
          <w:u w:val="none"/>
          <w:shd w:val="clear" w:color="auto" w:fill="auto"/>
          <w:lang w:val="en-US" w:eastAsia="zh-CN" w:bidi="ar"/>
        </w:rPr>
        <w:t>提供的资料</w:t>
      </w:r>
      <w:r>
        <w:rPr>
          <w:rFonts w:hint="default" w:ascii="Times New Roman" w:hAnsi="Times New Roman" w:eastAsia="仿宋_GB2312" w:cs="Times New Roman"/>
          <w:color w:val="000000"/>
          <w:kern w:val="0"/>
          <w:sz w:val="32"/>
          <w:szCs w:val="32"/>
          <w:highlight w:val="none"/>
          <w:u w:val="none"/>
          <w:shd w:val="clear" w:color="auto" w:fill="auto"/>
          <w:lang w:val="en-US" w:eastAsia="zh-CN" w:bidi="ar"/>
        </w:rPr>
        <w:t>发现</w:t>
      </w:r>
      <w:r>
        <w:rPr>
          <w:rFonts w:hint="eastAsia" w:ascii="Times New Roman" w:hAnsi="Times New Roman" w:eastAsia="仿宋_GB2312" w:cs="Times New Roman"/>
          <w:color w:val="000000"/>
          <w:kern w:val="0"/>
          <w:sz w:val="32"/>
          <w:szCs w:val="32"/>
          <w:highlight w:val="none"/>
          <w:u w:val="none"/>
          <w:shd w:val="clear" w:color="auto" w:fill="auto"/>
          <w:lang w:val="en-US" w:eastAsia="zh-CN" w:bidi="ar"/>
        </w:rPr>
        <w:t>，在</w:t>
      </w:r>
      <w:r>
        <w:rPr>
          <w:rFonts w:hint="default" w:ascii="Times New Roman" w:hAnsi="Times New Roman" w:eastAsia="仿宋_GB2312" w:cs="Times New Roman"/>
          <w:color w:val="000000"/>
          <w:kern w:val="0"/>
          <w:sz w:val="32"/>
          <w:szCs w:val="32"/>
          <w:highlight w:val="none"/>
          <w:u w:val="none"/>
          <w:shd w:val="clear" w:color="auto" w:fill="auto"/>
          <w:lang w:val="en-US" w:eastAsia="zh-CN" w:bidi="ar"/>
        </w:rPr>
        <w:t>兑现2023年8月10日至2024年8月10日《吐鲁番市推动文化和旅游业高质量发展奖励办法》奖励资金及2020年《吐鲁番市旅游优惠政策》奖补资金</w:t>
      </w:r>
      <w:r>
        <w:rPr>
          <w:rFonts w:hint="eastAsia" w:ascii="Times New Roman" w:hAnsi="Times New Roman" w:eastAsia="仿宋_GB2312" w:cs="Times New Roman"/>
          <w:color w:val="000000"/>
          <w:kern w:val="0"/>
          <w:sz w:val="32"/>
          <w:szCs w:val="32"/>
          <w:highlight w:val="none"/>
          <w:u w:val="none"/>
          <w:shd w:val="clear" w:color="auto" w:fill="auto"/>
          <w:lang w:val="en-US" w:eastAsia="zh-CN" w:bidi="ar"/>
        </w:rPr>
        <w:t>后，未能及时收集和整理关于享受奖励的企业和个人是否有效推动了文化和旅游产业高质量发展等相关资料，这一疏忽可能会影响对这些关键因素如何全面影响行业发展的深入理解，无法为政策制定者和行业参与者提供有力的决策支持。</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bCs/>
          <w:color w:val="auto"/>
          <w:kern w:val="0"/>
          <w:sz w:val="32"/>
          <w:szCs w:val="28"/>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en-US"/>
        </w:rPr>
        <w:t>1.</w:t>
      </w:r>
      <w:r>
        <w:rPr>
          <w:rFonts w:hint="default" w:ascii="Times New Roman" w:hAnsi="Times New Roman" w:eastAsia="仿宋_GB2312" w:cs="Times New Roman"/>
          <w:b/>
          <w:bCs/>
          <w:color w:val="auto"/>
          <w:kern w:val="0"/>
          <w:sz w:val="32"/>
          <w:szCs w:val="28"/>
          <w:highlight w:val="none"/>
          <w:lang w:val="en-US" w:eastAsia="zh-CN" w:bidi="ar-SA"/>
        </w:rPr>
        <w:t>单位积极组织全过程预算绩效</w:t>
      </w:r>
      <w:r>
        <w:rPr>
          <w:rFonts w:hint="eastAsia" w:ascii="Times New Roman" w:hAnsi="Times New Roman" w:eastAsia="仿宋_GB2312" w:cs="Times New Roman"/>
          <w:b/>
          <w:bCs/>
          <w:color w:val="auto"/>
          <w:kern w:val="0"/>
          <w:sz w:val="32"/>
          <w:szCs w:val="28"/>
          <w:highlight w:val="none"/>
          <w:lang w:val="en-US" w:eastAsia="zh-CN" w:bidi="ar-SA"/>
        </w:rPr>
        <w:t>管理</w:t>
      </w:r>
      <w:r>
        <w:rPr>
          <w:rFonts w:hint="default" w:ascii="Times New Roman" w:hAnsi="Times New Roman" w:eastAsia="仿宋_GB2312" w:cs="Times New Roman"/>
          <w:b/>
          <w:bCs/>
          <w:color w:val="auto"/>
          <w:kern w:val="0"/>
          <w:sz w:val="32"/>
          <w:szCs w:val="28"/>
          <w:highlight w:val="none"/>
          <w:lang w:val="en-US" w:eastAsia="zh-CN" w:bidi="ar-SA"/>
        </w:rPr>
        <w:t>培训</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预算单位可以通过自主培训或邀请预算绩效管理方面的专家培训等方式，针对具体项目执行人员，依据各科室的实际需求、预算绩效管理现状，进行专业对口的培训，满足业务科室对项目进行绩效分析、绩效监控和评价的需求，提高各部门的绩效目标编制质量。同时，预算单位加强绩效目标审核，对绩效目标编制质量进行严格把关，将设置不合理、不科学的绩效目标退回，并要求进一步修改完善，确保绩效目标编制的完整性、科学性。</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pPr>
      <w:bookmarkStart w:id="7" w:name="_Toc21279"/>
      <w:bookmarkStart w:id="8" w:name="_Toc8073"/>
      <w:bookmarkStart w:id="9" w:name="_Toc4594"/>
      <w:r>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t>2.增强</w:t>
      </w:r>
      <w:r>
        <w:rPr>
          <w:rFonts w:hint="default" w:ascii="Times New Roman" w:hAnsi="Times New Roman" w:eastAsia="仿宋_GB2312" w:cs="Times New Roman"/>
          <w:b/>
          <w:bCs/>
          <w:color w:val="000000"/>
          <w:kern w:val="0"/>
          <w:sz w:val="32"/>
          <w:szCs w:val="32"/>
          <w:highlight w:val="none"/>
          <w:u w:val="none"/>
          <w:shd w:val="clear" w:color="auto" w:fill="auto"/>
          <w:lang w:val="en-US" w:eastAsia="zh-CN" w:bidi="ar"/>
        </w:rPr>
        <w:t>项目</w:t>
      </w:r>
      <w:r>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t>档案</w:t>
      </w:r>
      <w:r>
        <w:rPr>
          <w:rFonts w:hint="default" w:ascii="Times New Roman" w:hAnsi="Times New Roman" w:eastAsia="仿宋_GB2312" w:cs="Times New Roman"/>
          <w:b/>
          <w:bCs/>
          <w:color w:val="000000"/>
          <w:kern w:val="0"/>
          <w:sz w:val="32"/>
          <w:szCs w:val="32"/>
          <w:highlight w:val="none"/>
          <w:u w:val="none"/>
          <w:shd w:val="clear" w:color="auto" w:fill="auto"/>
          <w:lang w:val="en-US" w:eastAsia="zh-CN" w:bidi="ar"/>
        </w:rPr>
        <w:t>管理意识</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建议重视项目</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实施后</w:t>
      </w: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资料的</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收集</w:t>
      </w: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，提高项目</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档案</w:t>
      </w: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资料的管理意识，提高相关资料收集与整理工作。加强档案管理，提高精细化管理水平</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w:t>
      </w: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确保项目指标保管的完整性，避免出现档案缺失等现象的发生。完善项目资料</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收集和管理</w:t>
      </w:r>
      <w:r>
        <w:rPr>
          <w:rFonts w:hint="default" w:ascii="Times New Roman" w:hAnsi="Times New Roman" w:eastAsia="仿宋_GB2312" w:cs="Times New Roman"/>
          <w:b w:val="0"/>
          <w:bCs w:val="0"/>
          <w:color w:val="000000"/>
          <w:kern w:val="0"/>
          <w:sz w:val="32"/>
          <w:szCs w:val="32"/>
          <w:highlight w:val="none"/>
          <w:u w:val="none"/>
          <w:shd w:val="clear" w:color="auto" w:fill="auto"/>
          <w:lang w:val="en-US" w:eastAsia="zh-CN" w:bidi="ar"/>
        </w:rPr>
        <w:t>工作，</w:t>
      </w:r>
      <w:r>
        <w:rPr>
          <w:rFonts w:hint="eastAsia" w:ascii="Times New Roman" w:hAnsi="Times New Roman" w:eastAsia="仿宋_GB2312" w:cs="Times New Roman"/>
          <w:b w:val="0"/>
          <w:bCs w:val="0"/>
          <w:color w:val="000000"/>
          <w:kern w:val="0"/>
          <w:sz w:val="32"/>
          <w:szCs w:val="32"/>
          <w:highlight w:val="none"/>
          <w:u w:val="none"/>
          <w:shd w:val="clear" w:color="auto" w:fill="auto"/>
          <w:lang w:val="en-US" w:eastAsia="zh-CN" w:bidi="ar"/>
        </w:rPr>
        <w:t>对</w:t>
      </w:r>
      <w:r>
        <w:rPr>
          <w:rFonts w:hint="default" w:ascii="Times New Roman" w:hAnsi="Times New Roman" w:eastAsia="仿宋_GB2312" w:cs="Times New Roman"/>
          <w:color w:val="000000"/>
          <w:kern w:val="0"/>
          <w:sz w:val="32"/>
          <w:szCs w:val="32"/>
          <w:highlight w:val="none"/>
          <w:u w:val="none"/>
          <w:shd w:val="clear" w:color="auto" w:fill="auto"/>
          <w:lang w:val="en-US" w:eastAsia="zh-CN" w:bidi="ar"/>
        </w:rPr>
        <w:t>资料进行分门别类，</w:t>
      </w:r>
      <w:r>
        <w:rPr>
          <w:rFonts w:hint="eastAsia" w:ascii="Times New Roman" w:hAnsi="Times New Roman" w:eastAsia="仿宋_GB2312" w:cs="Times New Roman"/>
          <w:color w:val="000000"/>
          <w:kern w:val="0"/>
          <w:sz w:val="32"/>
          <w:szCs w:val="32"/>
          <w:highlight w:val="none"/>
          <w:u w:val="none"/>
          <w:shd w:val="clear" w:color="auto" w:fill="auto"/>
          <w:lang w:val="en-US" w:eastAsia="zh-CN" w:bidi="ar"/>
        </w:rPr>
        <w:t>用于佐证推动文化和旅游产业高质量发展方面的贡献。可以从多个维度收集资料，构建系统化的论证链条，通过多维度证据的组合，既能体现直接成果，也能展示间接影响，从而全面佐证对文旅发展的推动作用</w:t>
      </w:r>
      <w:r>
        <w:rPr>
          <w:rFonts w:hint="default" w:ascii="Times New Roman" w:hAnsi="Times New Roman" w:eastAsia="仿宋_GB2312" w:cs="Times New Roman"/>
          <w:color w:val="000000"/>
          <w:kern w:val="0"/>
          <w:sz w:val="32"/>
          <w:szCs w:val="32"/>
          <w:highlight w:val="none"/>
          <w:u w:val="none"/>
          <w:shd w:val="clear" w:color="auto" w:fill="auto"/>
          <w:lang w:val="en-US" w:eastAsia="zh-CN" w:bidi="ar"/>
        </w:rPr>
        <w:t>。</w:t>
      </w:r>
      <w:bookmarkEnd w:id="7"/>
      <w:bookmarkEnd w:id="8"/>
      <w:bookmarkEnd w:id="9"/>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Times New Roman" w:hAnsi="Times New Roman"/>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E797B-EB4D-4B9C-BE9C-B9D9FF1331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E3BD6CE-FED0-4BC8-A387-5CA2C3D66B2D}"/>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565E7283-6EB3-4947-9CB0-8F50048F4F75}"/>
  </w:font>
  <w:font w:name="隶书">
    <w:panose1 w:val="02010509060101010101"/>
    <w:charset w:val="86"/>
    <w:family w:val="modern"/>
    <w:pitch w:val="default"/>
    <w:sig w:usb0="00000001" w:usb1="080E0000" w:usb2="00000000" w:usb3="00000000" w:csb0="00040000" w:csb1="00000000"/>
    <w:embedRegular r:id="rId4" w:fontKey="{914DAA7D-C921-468D-8721-DECD5D909D33}"/>
  </w:font>
  <w:font w:name="楷体">
    <w:panose1 w:val="02010609060101010101"/>
    <w:charset w:val="86"/>
    <w:family w:val="auto"/>
    <w:pitch w:val="default"/>
    <w:sig w:usb0="800002BF" w:usb1="38CF7CFA" w:usb2="00000016" w:usb3="00000000" w:csb0="00040001" w:csb1="00000000"/>
    <w:embedRegular r:id="rId5" w:fontKey="{394C1EF6-209C-4F02-8748-D176DC78F8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6"/>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38501D"/>
    <w:rsid w:val="010A62D0"/>
    <w:rsid w:val="010D7DD7"/>
    <w:rsid w:val="011D29BC"/>
    <w:rsid w:val="01883901"/>
    <w:rsid w:val="01F32976"/>
    <w:rsid w:val="030C19A7"/>
    <w:rsid w:val="031F3DF1"/>
    <w:rsid w:val="03962305"/>
    <w:rsid w:val="03C055D4"/>
    <w:rsid w:val="041A1188"/>
    <w:rsid w:val="046749DD"/>
    <w:rsid w:val="046E2A36"/>
    <w:rsid w:val="048760F2"/>
    <w:rsid w:val="055D636D"/>
    <w:rsid w:val="05880374"/>
    <w:rsid w:val="06035C4C"/>
    <w:rsid w:val="06A302DD"/>
    <w:rsid w:val="06AC1E40"/>
    <w:rsid w:val="072B545A"/>
    <w:rsid w:val="08D4742C"/>
    <w:rsid w:val="0966299D"/>
    <w:rsid w:val="0A516F86"/>
    <w:rsid w:val="0B310D4B"/>
    <w:rsid w:val="0B451B74"/>
    <w:rsid w:val="0B6B4077"/>
    <w:rsid w:val="0BDE0CED"/>
    <w:rsid w:val="0BF00A21"/>
    <w:rsid w:val="0C0F534B"/>
    <w:rsid w:val="0C6236CC"/>
    <w:rsid w:val="0CC04897"/>
    <w:rsid w:val="0D2F0451"/>
    <w:rsid w:val="0D7B505C"/>
    <w:rsid w:val="0EA87391"/>
    <w:rsid w:val="0F8E2A2A"/>
    <w:rsid w:val="0F962004"/>
    <w:rsid w:val="108A0A1C"/>
    <w:rsid w:val="11655F9D"/>
    <w:rsid w:val="11673533"/>
    <w:rsid w:val="117A5014"/>
    <w:rsid w:val="121B7B29"/>
    <w:rsid w:val="14260760"/>
    <w:rsid w:val="15AB60E4"/>
    <w:rsid w:val="15BC03C8"/>
    <w:rsid w:val="161466D7"/>
    <w:rsid w:val="16175081"/>
    <w:rsid w:val="16473933"/>
    <w:rsid w:val="16D2144F"/>
    <w:rsid w:val="16FC471D"/>
    <w:rsid w:val="18573340"/>
    <w:rsid w:val="187A3B4C"/>
    <w:rsid w:val="18BA663E"/>
    <w:rsid w:val="1A09162B"/>
    <w:rsid w:val="1A7715D0"/>
    <w:rsid w:val="1A7A42D7"/>
    <w:rsid w:val="1B2E5458"/>
    <w:rsid w:val="1B4D379A"/>
    <w:rsid w:val="1B854CE1"/>
    <w:rsid w:val="1BEE36D9"/>
    <w:rsid w:val="1C406E5A"/>
    <w:rsid w:val="1C6C5EA1"/>
    <w:rsid w:val="1CBD66FD"/>
    <w:rsid w:val="1E297BA9"/>
    <w:rsid w:val="1E380731"/>
    <w:rsid w:val="1E8F7C25"/>
    <w:rsid w:val="1F714784"/>
    <w:rsid w:val="20234AC9"/>
    <w:rsid w:val="20CC33B3"/>
    <w:rsid w:val="20F841A8"/>
    <w:rsid w:val="22370D00"/>
    <w:rsid w:val="22DD7660"/>
    <w:rsid w:val="238B4E5F"/>
    <w:rsid w:val="24213A15"/>
    <w:rsid w:val="2466767A"/>
    <w:rsid w:val="24BD373E"/>
    <w:rsid w:val="25C44658"/>
    <w:rsid w:val="26A34BB6"/>
    <w:rsid w:val="26A36964"/>
    <w:rsid w:val="27A46905"/>
    <w:rsid w:val="27B274E6"/>
    <w:rsid w:val="27BD5803"/>
    <w:rsid w:val="284D23F2"/>
    <w:rsid w:val="286F2FA1"/>
    <w:rsid w:val="28893937"/>
    <w:rsid w:val="28FE3F49"/>
    <w:rsid w:val="2903193C"/>
    <w:rsid w:val="291853E7"/>
    <w:rsid w:val="29C4487C"/>
    <w:rsid w:val="2A0B6CFA"/>
    <w:rsid w:val="2A59392D"/>
    <w:rsid w:val="2AA16FD1"/>
    <w:rsid w:val="2AF23A16"/>
    <w:rsid w:val="2AF552B4"/>
    <w:rsid w:val="2BC5737C"/>
    <w:rsid w:val="2C534988"/>
    <w:rsid w:val="2CF37A4F"/>
    <w:rsid w:val="2D346567"/>
    <w:rsid w:val="2D6455A9"/>
    <w:rsid w:val="2DD90EBD"/>
    <w:rsid w:val="2E220AB6"/>
    <w:rsid w:val="2E76670C"/>
    <w:rsid w:val="2F4A2E19"/>
    <w:rsid w:val="2F4C7754"/>
    <w:rsid w:val="2FB309F6"/>
    <w:rsid w:val="310149B3"/>
    <w:rsid w:val="33E0231E"/>
    <w:rsid w:val="33F151B2"/>
    <w:rsid w:val="34AC33F1"/>
    <w:rsid w:val="353B2F99"/>
    <w:rsid w:val="35BF4E3C"/>
    <w:rsid w:val="371F05E1"/>
    <w:rsid w:val="37A14BDC"/>
    <w:rsid w:val="383C2774"/>
    <w:rsid w:val="38431D54"/>
    <w:rsid w:val="387E4B3B"/>
    <w:rsid w:val="3A396F6B"/>
    <w:rsid w:val="3B624143"/>
    <w:rsid w:val="3C1732DC"/>
    <w:rsid w:val="3C726653"/>
    <w:rsid w:val="3C8D7A42"/>
    <w:rsid w:val="3C8F1D62"/>
    <w:rsid w:val="3CBB45AF"/>
    <w:rsid w:val="3CE27D8E"/>
    <w:rsid w:val="3CE753A4"/>
    <w:rsid w:val="3E88083C"/>
    <w:rsid w:val="3ED6747E"/>
    <w:rsid w:val="3F161F71"/>
    <w:rsid w:val="3F4A5777"/>
    <w:rsid w:val="3FA80E5C"/>
    <w:rsid w:val="3FDF2363"/>
    <w:rsid w:val="42254279"/>
    <w:rsid w:val="4274445B"/>
    <w:rsid w:val="43B92ECB"/>
    <w:rsid w:val="447C2876"/>
    <w:rsid w:val="44E87F0C"/>
    <w:rsid w:val="45140D01"/>
    <w:rsid w:val="454B3FF6"/>
    <w:rsid w:val="462F1BF7"/>
    <w:rsid w:val="46BB51AC"/>
    <w:rsid w:val="478E217A"/>
    <w:rsid w:val="47DC3427"/>
    <w:rsid w:val="48D03190"/>
    <w:rsid w:val="493F0316"/>
    <w:rsid w:val="497969EB"/>
    <w:rsid w:val="4A235542"/>
    <w:rsid w:val="4A430CFA"/>
    <w:rsid w:val="4AAC3789"/>
    <w:rsid w:val="4B887D52"/>
    <w:rsid w:val="4BE60F1D"/>
    <w:rsid w:val="4C9C2831"/>
    <w:rsid w:val="4F365D17"/>
    <w:rsid w:val="4F3D0E54"/>
    <w:rsid w:val="4F802722"/>
    <w:rsid w:val="4F8C3B89"/>
    <w:rsid w:val="5019541D"/>
    <w:rsid w:val="504C2DF0"/>
    <w:rsid w:val="516D6792"/>
    <w:rsid w:val="51803DC1"/>
    <w:rsid w:val="51875CD1"/>
    <w:rsid w:val="51E23F34"/>
    <w:rsid w:val="52081BED"/>
    <w:rsid w:val="52195BA8"/>
    <w:rsid w:val="52236EFF"/>
    <w:rsid w:val="52AA2CA4"/>
    <w:rsid w:val="53542C10"/>
    <w:rsid w:val="536901F9"/>
    <w:rsid w:val="53CB5A7A"/>
    <w:rsid w:val="53F35F85"/>
    <w:rsid w:val="557E3F74"/>
    <w:rsid w:val="55976870"/>
    <w:rsid w:val="559B4B26"/>
    <w:rsid w:val="55E60E8B"/>
    <w:rsid w:val="55E62245"/>
    <w:rsid w:val="565828B0"/>
    <w:rsid w:val="569A6B8C"/>
    <w:rsid w:val="577109C8"/>
    <w:rsid w:val="578A30A4"/>
    <w:rsid w:val="58597148"/>
    <w:rsid w:val="58767185"/>
    <w:rsid w:val="593A6404"/>
    <w:rsid w:val="595C281E"/>
    <w:rsid w:val="598E633B"/>
    <w:rsid w:val="5991071A"/>
    <w:rsid w:val="5A0F7891"/>
    <w:rsid w:val="5A875D41"/>
    <w:rsid w:val="5AAE2C06"/>
    <w:rsid w:val="5AF96577"/>
    <w:rsid w:val="5B3D3F8A"/>
    <w:rsid w:val="5B653C0C"/>
    <w:rsid w:val="5C1D0043"/>
    <w:rsid w:val="5CAE513F"/>
    <w:rsid w:val="5CE352CB"/>
    <w:rsid w:val="5D665A1A"/>
    <w:rsid w:val="5D777C27"/>
    <w:rsid w:val="5D8646F8"/>
    <w:rsid w:val="5E055233"/>
    <w:rsid w:val="5E1436C8"/>
    <w:rsid w:val="5E473A9D"/>
    <w:rsid w:val="5F2E67A7"/>
    <w:rsid w:val="5FAE037A"/>
    <w:rsid w:val="5FB80713"/>
    <w:rsid w:val="60D34F34"/>
    <w:rsid w:val="619406F3"/>
    <w:rsid w:val="623954AB"/>
    <w:rsid w:val="62516C98"/>
    <w:rsid w:val="6299063F"/>
    <w:rsid w:val="62D81168"/>
    <w:rsid w:val="62FA10DE"/>
    <w:rsid w:val="633F2F95"/>
    <w:rsid w:val="63A948B2"/>
    <w:rsid w:val="63CE44AC"/>
    <w:rsid w:val="640628CC"/>
    <w:rsid w:val="64137F7D"/>
    <w:rsid w:val="64395C36"/>
    <w:rsid w:val="64CC2606"/>
    <w:rsid w:val="6507022B"/>
    <w:rsid w:val="651162CA"/>
    <w:rsid w:val="65AD68DC"/>
    <w:rsid w:val="66057ECC"/>
    <w:rsid w:val="66FE4F15"/>
    <w:rsid w:val="67001A6E"/>
    <w:rsid w:val="6870599E"/>
    <w:rsid w:val="688356D2"/>
    <w:rsid w:val="68C02A57"/>
    <w:rsid w:val="68E32614"/>
    <w:rsid w:val="690305C1"/>
    <w:rsid w:val="69626CAC"/>
    <w:rsid w:val="696C085C"/>
    <w:rsid w:val="69782D5D"/>
    <w:rsid w:val="6A1B17E0"/>
    <w:rsid w:val="6A876FCF"/>
    <w:rsid w:val="6AE52674"/>
    <w:rsid w:val="6AED777A"/>
    <w:rsid w:val="6AFC176B"/>
    <w:rsid w:val="6B3B04E6"/>
    <w:rsid w:val="6B581098"/>
    <w:rsid w:val="6C335661"/>
    <w:rsid w:val="6C6E6699"/>
    <w:rsid w:val="6C8163CC"/>
    <w:rsid w:val="6CA200F0"/>
    <w:rsid w:val="6D172436"/>
    <w:rsid w:val="6DA02882"/>
    <w:rsid w:val="6DF901E4"/>
    <w:rsid w:val="6DFA6436"/>
    <w:rsid w:val="6EC95E08"/>
    <w:rsid w:val="6F0137F4"/>
    <w:rsid w:val="6F457604"/>
    <w:rsid w:val="6F6B6EC0"/>
    <w:rsid w:val="6FA76A78"/>
    <w:rsid w:val="6FEF7AF1"/>
    <w:rsid w:val="6FF9096F"/>
    <w:rsid w:val="70035E4A"/>
    <w:rsid w:val="704936A5"/>
    <w:rsid w:val="705627C6"/>
    <w:rsid w:val="70F133F4"/>
    <w:rsid w:val="71262BA7"/>
    <w:rsid w:val="727A1298"/>
    <w:rsid w:val="73240CB9"/>
    <w:rsid w:val="738549F4"/>
    <w:rsid w:val="7506180B"/>
    <w:rsid w:val="751B4A79"/>
    <w:rsid w:val="774F2C3D"/>
    <w:rsid w:val="77D71596"/>
    <w:rsid w:val="79425135"/>
    <w:rsid w:val="79E409FD"/>
    <w:rsid w:val="7A1C5986"/>
    <w:rsid w:val="7A5C0769"/>
    <w:rsid w:val="7AC676A0"/>
    <w:rsid w:val="7C9537CE"/>
    <w:rsid w:val="7C99506C"/>
    <w:rsid w:val="7CDE2C92"/>
    <w:rsid w:val="7D8B2A24"/>
    <w:rsid w:val="7D8E6B9B"/>
    <w:rsid w:val="7DC73E5B"/>
    <w:rsid w:val="7DE0510C"/>
    <w:rsid w:val="7E4D25B2"/>
    <w:rsid w:val="7E722019"/>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5">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6">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7">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8">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9">
    <w:name w:val="列出段落1"/>
    <w:basedOn w:val="1"/>
    <w:qFormat/>
    <w:uiPriority w:val="0"/>
    <w:pPr>
      <w:ind w:firstLine="420" w:firstLineChars="200"/>
    </w:pPr>
  </w:style>
  <w:style w:type="character" w:customStyle="1" w:styleId="20">
    <w:name w:val="font41"/>
    <w:basedOn w:val="13"/>
    <w:qFormat/>
    <w:uiPriority w:val="0"/>
    <w:rPr>
      <w:rFonts w:hint="default" w:ascii="Times New Roman" w:hAnsi="Times New Roman" w:cs="Times New Roman"/>
      <w:color w:val="000000"/>
      <w:sz w:val="22"/>
      <w:szCs w:val="22"/>
      <w:u w:val="none"/>
    </w:rPr>
  </w:style>
  <w:style w:type="character" w:customStyle="1" w:styleId="21">
    <w:name w:val="font3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3431</Words>
  <Characters>3569</Characters>
  <Lines>0</Lines>
  <Paragraphs>0</Paragraphs>
  <TotalTime>1</TotalTime>
  <ScaleCrop>false</ScaleCrop>
  <LinksUpToDate>false</LinksUpToDate>
  <CharactersWithSpaces>3571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Administrator</cp:lastModifiedBy>
  <cp:lastPrinted>2023-07-05T09:41:00Z</cp:lastPrinted>
  <dcterms:modified xsi:type="dcterms:W3CDTF">2025-11-25T10:21:12Z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FD64340C701741D98FF07615CA7561A3_11</vt:lpwstr>
  </property>
  <property fmtid="{D5CDD505-2E9C-101B-9397-08002B2CF9AE}" pid="4" name="KSOTemplateDocerSaveRecord">
    <vt:lpwstr>eyJoZGlkIjoiMzU2YWNjYWM0ZjQzNTYwYzEyN2VlYjEyOTY5OGUxZDciLCJ1c2VySWQiOiIxNTUxMTYxNjMwIn0=</vt:lpwstr>
  </property>
</Properties>
</file>