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overflowPunct w:val="0"/>
        <w:autoSpaceDE w:val="0"/>
        <w:autoSpaceDN w:val="0"/>
        <w:adjustRightInd w:val="0"/>
        <w:spacing w:line="720" w:lineRule="auto"/>
        <w:jc w:val="center"/>
        <w:textAlignment w:val="baseline"/>
        <w:rPr>
          <w:rFonts w:ascii="黑体" w:hAnsi="黑体" w:eastAsia="黑体"/>
          <w:b/>
          <w:sz w:val="32"/>
          <w:szCs w:val="32"/>
        </w:rPr>
      </w:pPr>
    </w:p>
    <w:p>
      <w:pPr>
        <w:widowControl/>
        <w:overflowPunct w:val="0"/>
        <w:autoSpaceDE w:val="0"/>
        <w:autoSpaceDN w:val="0"/>
        <w:adjustRightInd w:val="0"/>
        <w:spacing w:line="720" w:lineRule="auto"/>
        <w:jc w:val="center"/>
        <w:textAlignment w:val="baseline"/>
        <w:rPr>
          <w:rFonts w:ascii="黑体" w:hAnsi="黑体" w:eastAsia="黑体"/>
          <w:b/>
          <w:sz w:val="32"/>
          <w:szCs w:val="32"/>
        </w:rPr>
      </w:pPr>
    </w:p>
    <w:p>
      <w:pPr>
        <w:widowControl/>
        <w:overflowPunct w:val="0"/>
        <w:autoSpaceDE w:val="0"/>
        <w:autoSpaceDN w:val="0"/>
        <w:adjustRightInd w:val="0"/>
        <w:spacing w:line="720" w:lineRule="auto"/>
        <w:jc w:val="center"/>
        <w:textAlignment w:val="baseline"/>
        <w:rPr>
          <w:rFonts w:ascii="黑体" w:hAnsi="黑体" w:eastAsia="黑体"/>
          <w:bCs/>
          <w:sz w:val="52"/>
          <w:szCs w:val="52"/>
        </w:rPr>
      </w:pPr>
      <w:bookmarkStart w:id="0" w:name="_Hlk111754693"/>
    </w:p>
    <w:p>
      <w:pPr>
        <w:spacing w:line="720" w:lineRule="auto"/>
        <w:jc w:val="center"/>
        <w:rPr>
          <w:rStyle w:val="82"/>
          <w:rFonts w:hint="eastAsia" w:ascii="Times New Roman" w:hAnsi="Times New Roman" w:eastAsia="黑体"/>
          <w:b/>
          <w:bCs/>
          <w:kern w:val="0"/>
          <w:sz w:val="52"/>
          <w:szCs w:val="52"/>
          <w:lang w:val="en-US" w:bidi="en-US"/>
        </w:rPr>
      </w:pPr>
      <w:r>
        <w:rPr>
          <w:rStyle w:val="82"/>
          <w:rFonts w:hint="eastAsia" w:ascii="Times New Roman" w:hAnsi="Times New Roman" w:eastAsia="黑体"/>
          <w:b/>
          <w:bCs/>
          <w:kern w:val="0"/>
          <w:sz w:val="52"/>
          <w:szCs w:val="52"/>
          <w:lang w:bidi="en-US"/>
        </w:rPr>
        <w:t>吐鲁番市2021年度</w:t>
      </w:r>
      <w:r>
        <w:rPr>
          <w:rStyle w:val="82"/>
          <w:rFonts w:hint="eastAsia" w:ascii="Times New Roman" w:hAnsi="Times New Roman" w:eastAsia="黑体"/>
          <w:b/>
          <w:bCs/>
          <w:kern w:val="0"/>
          <w:sz w:val="52"/>
          <w:szCs w:val="52"/>
          <w:lang w:val="en-US" w:bidi="en-US"/>
        </w:rPr>
        <w:t>重点项目</w:t>
      </w:r>
    </w:p>
    <w:p>
      <w:pPr>
        <w:spacing w:line="720" w:lineRule="auto"/>
        <w:jc w:val="center"/>
        <w:rPr>
          <w:rStyle w:val="82"/>
          <w:rFonts w:ascii="Times New Roman" w:hAnsi="Times New Roman" w:eastAsia="黑体"/>
          <w:b/>
          <w:bCs/>
          <w:kern w:val="0"/>
          <w:sz w:val="52"/>
          <w:szCs w:val="52"/>
          <w:lang w:bidi="en-US"/>
        </w:rPr>
      </w:pPr>
      <w:r>
        <w:rPr>
          <w:rStyle w:val="82"/>
          <w:rFonts w:hint="eastAsia" w:ascii="Times New Roman" w:hAnsi="Times New Roman" w:eastAsia="黑体"/>
          <w:b/>
          <w:bCs/>
          <w:kern w:val="0"/>
          <w:sz w:val="52"/>
          <w:szCs w:val="52"/>
          <w:lang w:bidi="en-US"/>
        </w:rPr>
        <w:t>预算</w:t>
      </w:r>
      <w:r>
        <w:rPr>
          <w:rStyle w:val="82"/>
          <w:rFonts w:hint="eastAsia" w:ascii="Times New Roman" w:hAnsi="Times New Roman" w:eastAsia="黑体"/>
          <w:b/>
          <w:bCs/>
          <w:color w:val="000000"/>
          <w:kern w:val="0"/>
          <w:sz w:val="52"/>
          <w:szCs w:val="52"/>
          <w:lang w:bidi="en-US"/>
        </w:rPr>
        <w:t>绩效</w:t>
      </w:r>
      <w:bookmarkStart w:id="156" w:name="_GoBack"/>
      <w:bookmarkEnd w:id="156"/>
      <w:r>
        <w:rPr>
          <w:rStyle w:val="82"/>
          <w:rFonts w:hint="eastAsia" w:ascii="Times New Roman" w:hAnsi="Times New Roman" w:eastAsia="黑体"/>
          <w:b/>
          <w:bCs/>
          <w:color w:val="000000"/>
          <w:kern w:val="0"/>
          <w:sz w:val="52"/>
          <w:szCs w:val="52"/>
          <w:lang w:bidi="en-US"/>
        </w:rPr>
        <w:t>评价</w:t>
      </w:r>
      <w:r>
        <w:rPr>
          <w:rStyle w:val="82"/>
          <w:rFonts w:hint="eastAsia" w:ascii="Times New Roman" w:hAnsi="Times New Roman" w:eastAsia="黑体"/>
          <w:b/>
          <w:bCs/>
          <w:kern w:val="0"/>
          <w:sz w:val="52"/>
          <w:szCs w:val="52"/>
          <w:lang w:bidi="en-US"/>
        </w:rPr>
        <w:t>报告</w:t>
      </w:r>
    </w:p>
    <w:p>
      <w:pPr>
        <w:widowControl/>
        <w:overflowPunct w:val="0"/>
        <w:autoSpaceDE w:val="0"/>
        <w:autoSpaceDN w:val="0"/>
        <w:adjustRightInd w:val="0"/>
        <w:spacing w:line="720" w:lineRule="auto"/>
        <w:jc w:val="center"/>
        <w:textAlignment w:val="baseline"/>
        <w:rPr>
          <w:rFonts w:ascii="黑体" w:hAnsi="黑体" w:eastAsia="黑体"/>
          <w:b/>
          <w:sz w:val="32"/>
          <w:szCs w:val="32"/>
        </w:rPr>
      </w:pPr>
    </w:p>
    <w:p>
      <w:pPr>
        <w:widowControl/>
        <w:overflowPunct w:val="0"/>
        <w:autoSpaceDE w:val="0"/>
        <w:autoSpaceDN w:val="0"/>
        <w:adjustRightInd w:val="0"/>
        <w:spacing w:line="720" w:lineRule="auto"/>
        <w:jc w:val="center"/>
        <w:textAlignment w:val="baseline"/>
        <w:rPr>
          <w:rFonts w:ascii="黑体" w:hAnsi="黑体" w:eastAsia="黑体"/>
          <w:b/>
          <w:sz w:val="32"/>
          <w:szCs w:val="32"/>
        </w:rPr>
      </w:pPr>
    </w:p>
    <w:p>
      <w:pPr>
        <w:widowControl/>
        <w:overflowPunct w:val="0"/>
        <w:autoSpaceDE w:val="0"/>
        <w:autoSpaceDN w:val="0"/>
        <w:adjustRightInd w:val="0"/>
        <w:spacing w:line="720" w:lineRule="auto"/>
        <w:textAlignment w:val="baseline"/>
        <w:rPr>
          <w:rFonts w:ascii="黑体" w:hAnsi="黑体" w:eastAsia="黑体"/>
          <w:b/>
          <w:sz w:val="32"/>
          <w:szCs w:val="32"/>
        </w:rPr>
      </w:pPr>
    </w:p>
    <w:p>
      <w:pPr>
        <w:widowControl/>
        <w:overflowPunct w:val="0"/>
        <w:autoSpaceDE w:val="0"/>
        <w:autoSpaceDN w:val="0"/>
        <w:adjustRightInd w:val="0"/>
        <w:spacing w:line="720" w:lineRule="auto"/>
        <w:textAlignment w:val="baseline"/>
        <w:rPr>
          <w:rFonts w:ascii="黑体" w:hAnsi="黑体" w:eastAsia="黑体"/>
          <w:b/>
          <w:sz w:val="32"/>
          <w:szCs w:val="32"/>
        </w:rPr>
      </w:pPr>
    </w:p>
    <w:p>
      <w:pPr>
        <w:widowControl/>
        <w:spacing w:before="120" w:after="120" w:line="560" w:lineRule="exact"/>
        <w:ind w:left="2877" w:leftChars="608" w:hanging="1600" w:hangingChars="500"/>
        <w:jc w:val="left"/>
        <w:textAlignment w:val="baseline"/>
        <w:rPr>
          <w:rStyle w:val="82"/>
          <w:rFonts w:ascii="黑体" w:hAnsi="黑体" w:eastAsia="黑体" w:cs="黑体"/>
          <w:kern w:val="0"/>
          <w:sz w:val="32"/>
          <w:szCs w:val="32"/>
          <w:lang w:bidi="en-US"/>
        </w:rPr>
      </w:pPr>
      <w:r>
        <w:rPr>
          <w:rStyle w:val="82"/>
          <w:rFonts w:hint="eastAsia" w:ascii="黑体" w:hAnsi="黑体" w:eastAsia="黑体" w:cs="黑体"/>
          <w:kern w:val="0"/>
          <w:sz w:val="32"/>
          <w:szCs w:val="32"/>
          <w:lang w:bidi="en-US"/>
        </w:rPr>
        <w:t>项目名称：</w:t>
      </w:r>
      <w:bookmarkStart w:id="1" w:name="_Hlk110510192"/>
      <w:r>
        <w:rPr>
          <w:rStyle w:val="82"/>
          <w:rFonts w:hint="eastAsia" w:ascii="黑体" w:hAnsi="黑体" w:eastAsia="黑体" w:cs="黑体"/>
          <w:kern w:val="0"/>
          <w:sz w:val="32"/>
          <w:szCs w:val="32"/>
          <w:lang w:bidi="en-US"/>
        </w:rPr>
        <w:t>《吐鲁番市“十四五”综合交通运输</w:t>
      </w:r>
      <w:r>
        <w:rPr>
          <w:rStyle w:val="82"/>
          <w:rFonts w:hint="eastAsia" w:ascii="黑体" w:hAnsi="黑体" w:eastAsia="黑体" w:cs="黑体"/>
          <w:kern w:val="0"/>
          <w:sz w:val="32"/>
          <w:szCs w:val="32"/>
          <w:lang w:bidi="en-US"/>
        </w:rPr>
        <w:br w:type="textWrapping"/>
      </w:r>
      <w:r>
        <w:rPr>
          <w:rStyle w:val="82"/>
          <w:rFonts w:hint="eastAsia" w:ascii="黑体" w:hAnsi="黑体" w:eastAsia="黑体" w:cs="黑体"/>
          <w:kern w:val="0"/>
          <w:sz w:val="32"/>
          <w:szCs w:val="32"/>
          <w:lang w:bidi="en-US"/>
        </w:rPr>
        <w:t>发展规划》编制费项目</w:t>
      </w:r>
    </w:p>
    <w:bookmarkEnd w:id="1"/>
    <w:p>
      <w:pPr>
        <w:widowControl/>
        <w:spacing w:before="120" w:after="120" w:line="560" w:lineRule="exact"/>
        <w:ind w:firstLine="1280" w:firstLineChars="400"/>
        <w:jc w:val="left"/>
        <w:textAlignment w:val="baseline"/>
        <w:rPr>
          <w:rStyle w:val="82"/>
          <w:rFonts w:ascii="黑体" w:hAnsi="黑体" w:eastAsia="黑体" w:cs="黑体"/>
          <w:kern w:val="0"/>
          <w:sz w:val="32"/>
          <w:szCs w:val="32"/>
          <w:lang w:bidi="en-US"/>
        </w:rPr>
      </w:pPr>
      <w:r>
        <w:rPr>
          <w:rStyle w:val="82"/>
          <w:rFonts w:hint="eastAsia" w:ascii="黑体" w:hAnsi="黑体" w:eastAsia="黑体" w:cs="黑体"/>
          <w:kern w:val="0"/>
          <w:sz w:val="32"/>
          <w:szCs w:val="32"/>
          <w:lang w:bidi="en-US"/>
        </w:rPr>
        <w:t>项目单位：吐鲁番市交通运输局</w:t>
      </w:r>
    </w:p>
    <w:p>
      <w:pPr>
        <w:widowControl/>
        <w:spacing w:before="120" w:after="120" w:line="560" w:lineRule="exact"/>
        <w:ind w:firstLine="1280" w:firstLineChars="400"/>
        <w:jc w:val="left"/>
        <w:textAlignment w:val="baseline"/>
        <w:rPr>
          <w:rStyle w:val="82"/>
          <w:rFonts w:ascii="黑体" w:hAnsi="黑体" w:eastAsia="黑体" w:cs="黑体"/>
          <w:kern w:val="0"/>
          <w:sz w:val="32"/>
          <w:szCs w:val="32"/>
          <w:lang w:bidi="en-US"/>
        </w:rPr>
      </w:pPr>
      <w:r>
        <w:rPr>
          <w:rStyle w:val="82"/>
          <w:rFonts w:hint="eastAsia" w:ascii="黑体" w:hAnsi="黑体" w:eastAsia="黑体" w:cs="黑体"/>
          <w:kern w:val="0"/>
          <w:sz w:val="32"/>
          <w:szCs w:val="32"/>
          <w:lang w:bidi="en-US"/>
        </w:rPr>
        <w:t>主管部门：吐鲁番市交通运输局</w:t>
      </w:r>
    </w:p>
    <w:p>
      <w:pPr>
        <w:widowControl/>
        <w:spacing w:before="120" w:after="120" w:line="560" w:lineRule="exact"/>
        <w:ind w:firstLine="1280" w:firstLineChars="400"/>
        <w:jc w:val="left"/>
        <w:textAlignment w:val="baseline"/>
        <w:rPr>
          <w:rStyle w:val="82"/>
          <w:rFonts w:ascii="黑体" w:hAnsi="黑体" w:eastAsia="黑体" w:cs="黑体"/>
          <w:kern w:val="0"/>
          <w:sz w:val="32"/>
          <w:szCs w:val="32"/>
          <w:lang w:bidi="en-US"/>
        </w:rPr>
      </w:pPr>
      <w:r>
        <w:rPr>
          <w:rStyle w:val="82"/>
          <w:rFonts w:hint="eastAsia" w:ascii="黑体" w:hAnsi="黑体" w:eastAsia="黑体" w:cs="黑体"/>
          <w:kern w:val="0"/>
          <w:sz w:val="32"/>
          <w:szCs w:val="32"/>
          <w:lang w:bidi="en-US"/>
        </w:rPr>
        <w:t>委托单位：吐鲁番市财政局</w:t>
      </w:r>
    </w:p>
    <w:p>
      <w:pPr>
        <w:widowControl/>
        <w:spacing w:before="120" w:after="120" w:line="560" w:lineRule="exact"/>
        <w:ind w:firstLine="1280" w:firstLineChars="400"/>
        <w:jc w:val="left"/>
        <w:textAlignment w:val="baseline"/>
        <w:rPr>
          <w:rStyle w:val="82"/>
          <w:rFonts w:ascii="Times New Roman" w:hAnsi="Times New Roman" w:eastAsia="黑体"/>
          <w:kern w:val="0"/>
          <w:sz w:val="32"/>
          <w:szCs w:val="32"/>
          <w:lang w:bidi="en-US"/>
        </w:rPr>
      </w:pPr>
      <w:r>
        <w:rPr>
          <w:rStyle w:val="82"/>
          <w:rFonts w:hint="eastAsia" w:ascii="黑体" w:hAnsi="黑体" w:eastAsia="黑体" w:cs="黑体"/>
          <w:kern w:val="0"/>
          <w:sz w:val="32"/>
          <w:szCs w:val="32"/>
          <w:lang w:bidi="en-US"/>
        </w:rPr>
        <w:t>评价机构：新疆财讯睿智信息咨询有限公司</w:t>
      </w:r>
    </w:p>
    <w:p>
      <w:pPr>
        <w:widowControl/>
        <w:overflowPunct w:val="0"/>
        <w:autoSpaceDE w:val="0"/>
        <w:autoSpaceDN w:val="0"/>
        <w:adjustRightInd w:val="0"/>
        <w:spacing w:before="120" w:after="120" w:line="560" w:lineRule="exact"/>
        <w:ind w:firstLine="1280" w:firstLineChars="400"/>
        <w:jc w:val="left"/>
        <w:textAlignment w:val="baseline"/>
        <w:rPr>
          <w:rStyle w:val="82"/>
          <w:rFonts w:ascii="黑体" w:hAnsi="黑体" w:eastAsia="黑体" w:cs="黑体"/>
          <w:kern w:val="0"/>
          <w:sz w:val="32"/>
          <w:szCs w:val="32"/>
          <w:lang w:bidi="en-US"/>
        </w:rPr>
        <w:sectPr>
          <w:headerReference r:id="rId3" w:type="default"/>
          <w:headerReference r:id="rId4" w:type="even"/>
          <w:pgSz w:w="11906" w:h="16838"/>
          <w:pgMar w:top="1440" w:right="1797" w:bottom="1440" w:left="1797" w:header="851" w:footer="992" w:gutter="0"/>
          <w:cols w:space="720" w:num="1"/>
          <w:docGrid w:type="lines" w:linePitch="312" w:charSpace="0"/>
        </w:sectPr>
      </w:pPr>
      <w:r>
        <w:rPr>
          <w:rStyle w:val="82"/>
          <w:rFonts w:hint="eastAsia" w:ascii="Times New Roman" w:hAnsi="Times New Roman" w:eastAsia="黑体"/>
          <w:kern w:val="0"/>
          <w:sz w:val="32"/>
          <w:szCs w:val="32"/>
          <w:lang w:bidi="en-US"/>
        </w:rPr>
        <w:t xml:space="preserve">             </w:t>
      </w:r>
      <w:r>
        <w:rPr>
          <w:rStyle w:val="82"/>
          <w:rFonts w:ascii="黑体" w:hAnsi="黑体" w:eastAsia="黑体" w:cs="黑体"/>
          <w:kern w:val="0"/>
          <w:sz w:val="32"/>
          <w:szCs w:val="32"/>
          <w:lang w:bidi="en-US"/>
        </w:rPr>
        <w:t xml:space="preserve"> 2022</w:t>
      </w:r>
      <w:r>
        <w:rPr>
          <w:rStyle w:val="82"/>
          <w:rFonts w:hint="eastAsia" w:ascii="黑体" w:hAnsi="黑体" w:eastAsia="黑体" w:cs="黑体"/>
          <w:kern w:val="0"/>
          <w:sz w:val="32"/>
          <w:szCs w:val="32"/>
          <w:lang w:bidi="en-US"/>
        </w:rPr>
        <w:t>年</w:t>
      </w:r>
      <w:r>
        <w:rPr>
          <w:rStyle w:val="82"/>
          <w:rFonts w:ascii="黑体" w:hAnsi="黑体" w:eastAsia="黑体" w:cs="黑体"/>
          <w:kern w:val="0"/>
          <w:sz w:val="32"/>
          <w:szCs w:val="32"/>
          <w:lang w:bidi="en-US"/>
        </w:rPr>
        <w:t>8</w:t>
      </w:r>
      <w:r>
        <w:rPr>
          <w:rStyle w:val="82"/>
          <w:rFonts w:hint="eastAsia" w:ascii="黑体" w:hAnsi="黑体" w:eastAsia="黑体" w:cs="黑体"/>
          <w:kern w:val="0"/>
          <w:sz w:val="32"/>
          <w:szCs w:val="32"/>
          <w:lang w:bidi="en-US"/>
        </w:rPr>
        <w:t>月</w:t>
      </w:r>
    </w:p>
    <w:bookmarkEnd w:id="0"/>
    <w:p>
      <w:pPr>
        <w:widowControl/>
        <w:jc w:val="center"/>
        <w:rPr>
          <w:rFonts w:ascii="黑体" w:hAnsi="黑体" w:eastAsia="黑体"/>
          <w:sz w:val="44"/>
          <w:szCs w:val="44"/>
          <w:lang w:bidi="en-US"/>
        </w:rPr>
      </w:pPr>
      <w:r>
        <w:rPr>
          <w:rFonts w:hint="eastAsia" w:ascii="黑体" w:hAnsi="黑体" w:eastAsia="黑体"/>
          <w:bCs/>
          <w:kern w:val="0"/>
          <w:sz w:val="44"/>
          <w:szCs w:val="44"/>
          <w:lang w:bidi="ar"/>
        </w:rPr>
        <w:t>摘   要</w:t>
      </w:r>
    </w:p>
    <w:p>
      <w:pPr>
        <w:pStyle w:val="86"/>
        <w:outlineLvl w:val="9"/>
      </w:pPr>
      <w:r>
        <w:rPr>
          <w:lang w:bidi="ar"/>
        </w:rPr>
        <w:t xml:space="preserve">一、项目概述 </w:t>
      </w:r>
    </w:p>
    <w:p>
      <w:pPr>
        <w:pStyle w:val="85"/>
        <w:outlineLvl w:val="9"/>
        <w:rPr>
          <w:lang w:bidi="ar"/>
        </w:rPr>
      </w:pPr>
      <w:r>
        <w:rPr>
          <w:lang w:bidi="ar"/>
        </w:rPr>
        <w:t xml:space="preserve">（一）项目概况 </w:t>
      </w:r>
    </w:p>
    <w:p>
      <w:pPr>
        <w:spacing w:line="560" w:lineRule="exact"/>
        <w:ind w:firstLine="640" w:firstLineChars="200"/>
        <w:jc w:val="left"/>
        <w:rPr>
          <w:rFonts w:ascii="Times New Roman" w:hAnsi="Times New Roman" w:eastAsia="仿宋_GB2312"/>
          <w:b/>
          <w:bCs/>
          <w:kern w:val="0"/>
          <w:lang w:bidi="ar"/>
        </w:rPr>
      </w:pPr>
      <w:r>
        <w:rPr>
          <w:rFonts w:hint="eastAsia" w:ascii="Times New Roman" w:hAnsi="Times New Roman" w:eastAsia="仿宋_GB2312"/>
          <w:kern w:val="0"/>
          <w:sz w:val="32"/>
          <w:szCs w:val="32"/>
          <w:lang w:bidi="ar"/>
        </w:rPr>
        <w:t>在准确评判“十三五”吐鲁番市交通运输领域交通建设发展经验和不足的基础上，对接国家、自治区和吐鲁番市“十四五”时期国民经济和社会发展规划和</w:t>
      </w:r>
      <w:r>
        <w:rPr>
          <w:rFonts w:ascii="Times New Roman" w:hAnsi="Times New Roman" w:eastAsia="仿宋_GB2312"/>
          <w:kern w:val="0"/>
          <w:sz w:val="32"/>
          <w:szCs w:val="32"/>
          <w:lang w:bidi="ar"/>
        </w:rPr>
        <w:t>2035</w:t>
      </w:r>
      <w:r>
        <w:rPr>
          <w:rFonts w:hint="eastAsia" w:ascii="Times New Roman" w:hAnsi="Times New Roman" w:eastAsia="仿宋_GB2312"/>
          <w:kern w:val="0"/>
          <w:sz w:val="32"/>
          <w:szCs w:val="32"/>
          <w:lang w:bidi="ar"/>
        </w:rPr>
        <w:t>年目标纲要等相关规划，吐鲁番市开展制定《吐鲁番市“十四五”综合交通运输发展规划》（以下简称《规划》），对落实交通强国战略，加快完善安全、便捷、高效、绿色、经济的现代综合交通运输体系，推进吐鲁番市交通建设的可持续和高质量发展，服务区域经济社会发展具有重要意义。</w:t>
      </w:r>
      <w:r>
        <w:rPr>
          <w:rFonts w:hint="eastAsia" w:ascii="仿宋_GB2312" w:eastAsia="仿宋_GB2312"/>
          <w:color w:val="000000"/>
          <w:sz w:val="32"/>
          <w:szCs w:val="32"/>
          <w:shd w:val="clear" w:color="auto" w:fill="FFFFFF"/>
        </w:rPr>
        <w:t>2021年2月，吐鲁番市交通运输局委托北京华协交通咨询公司负责编制《吐鲁番市“十四五”综合交通运输发展规划》合同金额120万元。</w:t>
      </w:r>
    </w:p>
    <w:p>
      <w:pPr>
        <w:pStyle w:val="85"/>
        <w:outlineLvl w:val="9"/>
        <w:rPr>
          <w:lang w:bidi="ar"/>
        </w:rPr>
      </w:pPr>
      <w:r>
        <w:rPr>
          <w:lang w:bidi="ar"/>
        </w:rPr>
        <w:t>（二）项目实施情况</w:t>
      </w:r>
    </w:p>
    <w:p>
      <w:pPr>
        <w:spacing w:line="560" w:lineRule="exact"/>
        <w:ind w:firstLine="640" w:firstLineChars="200"/>
        <w:jc w:val="left"/>
        <w:rPr>
          <w:rFonts w:ascii="Times New Roman" w:hAnsi="Times New Roman" w:eastAsia="仿宋_GB2312"/>
          <w:b/>
          <w:bCs/>
          <w:kern w:val="0"/>
          <w:lang w:bidi="ar"/>
        </w:rPr>
      </w:pPr>
      <w:r>
        <w:rPr>
          <w:rFonts w:hint="eastAsia" w:ascii="仿宋_GB2312" w:eastAsia="仿宋_GB2312"/>
          <w:color w:val="000000"/>
          <w:sz w:val="32"/>
          <w:szCs w:val="32"/>
          <w:shd w:val="clear" w:color="auto" w:fill="FFFFFF"/>
        </w:rPr>
        <w:t>2021年2月，《吐鲁番市“十四五”综合交通运输发展规划》编制工作正式启动。制定了</w:t>
      </w:r>
      <w:r>
        <w:rPr>
          <w:rFonts w:hint="eastAsia" w:ascii="Times New Roman" w:hAnsi="Times New Roman" w:eastAsia="仿宋_GB2312"/>
          <w:kern w:val="0"/>
          <w:sz w:val="32"/>
          <w:szCs w:val="32"/>
          <w:lang w:bidi="ar"/>
        </w:rPr>
        <w:t>《规划》</w:t>
      </w:r>
      <w:r>
        <w:rPr>
          <w:rFonts w:hint="eastAsia" w:ascii="仿宋_GB2312" w:eastAsia="仿宋_GB2312"/>
          <w:color w:val="000000"/>
          <w:sz w:val="32"/>
          <w:szCs w:val="32"/>
          <w:shd w:val="clear" w:color="auto" w:fill="FFFFFF"/>
        </w:rPr>
        <w:t>编制工作计划和工作大纲。9月第三轮征求市直属相关部门、兵团第十二师二二一团的意见，并根据国务院、交通运输部和自治区的有关文件精神，结合一区两县对项目的调整要求，对报告做进一步补充完善。11月9日，两次修改完善，2</w:t>
      </w:r>
      <w:r>
        <w:rPr>
          <w:rFonts w:ascii="仿宋_GB2312" w:eastAsia="仿宋_GB2312"/>
          <w:color w:val="000000"/>
          <w:sz w:val="32"/>
          <w:szCs w:val="32"/>
          <w:shd w:val="clear" w:color="auto" w:fill="FFFFFF"/>
        </w:rPr>
        <w:t>022</w:t>
      </w:r>
      <w:r>
        <w:rPr>
          <w:rFonts w:hint="eastAsia" w:ascii="仿宋_GB2312" w:eastAsia="仿宋_GB2312"/>
          <w:color w:val="000000"/>
          <w:sz w:val="32"/>
          <w:szCs w:val="32"/>
          <w:shd w:val="clear" w:color="auto" w:fill="FFFFFF"/>
        </w:rPr>
        <w:t>年5月形成终稿。</w:t>
      </w:r>
      <w:r>
        <w:rPr>
          <w:rFonts w:hint="eastAsia" w:ascii="仿宋_GB2312" w:hAnsi="Times New Roman" w:eastAsia="仿宋_GB2312"/>
          <w:kern w:val="0"/>
          <w:sz w:val="32"/>
          <w:szCs w:val="32"/>
        </w:rPr>
        <w:t xml:space="preserve">该《规划》的编制，为构建安全、便捷、高效、绿色、经济的现代化综合交通体系奠定基础，为推动吐鲁番高质量发展、迈向长治久安提供有效保障。 </w:t>
      </w:r>
    </w:p>
    <w:p>
      <w:pPr>
        <w:pStyle w:val="85"/>
        <w:outlineLvl w:val="9"/>
        <w:rPr>
          <w:lang w:bidi="ar"/>
        </w:rPr>
      </w:pPr>
      <w:r>
        <w:rPr>
          <w:lang w:bidi="ar"/>
        </w:rPr>
        <w:t xml:space="preserve">（三）绩效目标 </w:t>
      </w:r>
    </w:p>
    <w:p>
      <w:pPr>
        <w:widowControl/>
        <w:overflowPunct w:val="0"/>
        <w:autoSpaceDE w:val="0"/>
        <w:autoSpaceDN w:val="0"/>
        <w:adjustRightInd w:val="0"/>
        <w:spacing w:line="560" w:lineRule="exact"/>
        <w:ind w:firstLine="643" w:firstLineChars="200"/>
        <w:textAlignment w:val="baseline"/>
        <w:rPr>
          <w:rFonts w:ascii="Times New Roman" w:hAnsi="Times New Roman" w:eastAsia="仿宋_GB2312"/>
          <w:b/>
          <w:bCs/>
          <w:kern w:val="0"/>
          <w:sz w:val="32"/>
          <w:szCs w:val="32"/>
        </w:rPr>
      </w:pPr>
      <w:r>
        <w:rPr>
          <w:rFonts w:ascii="Times New Roman" w:hAnsi="Times New Roman" w:eastAsia="仿宋_GB2312"/>
          <w:b/>
          <w:bCs/>
          <w:kern w:val="0"/>
          <w:sz w:val="32"/>
          <w:szCs w:val="32"/>
        </w:rPr>
        <w:t>1</w:t>
      </w:r>
      <w:r>
        <w:rPr>
          <w:rFonts w:hint="eastAsia" w:ascii="Times New Roman" w:hAnsi="Times New Roman" w:eastAsia="仿宋_GB2312"/>
          <w:b/>
          <w:bCs/>
          <w:kern w:val="0"/>
          <w:sz w:val="32"/>
          <w:szCs w:val="32"/>
        </w:rPr>
        <w:t>.</w:t>
      </w:r>
      <w:r>
        <w:rPr>
          <w:rFonts w:ascii="Times New Roman" w:hAnsi="Times New Roman" w:eastAsia="仿宋_GB2312"/>
          <w:b/>
          <w:bCs/>
          <w:kern w:val="0"/>
          <w:sz w:val="32"/>
          <w:szCs w:val="32"/>
        </w:rPr>
        <w:t>总目标</w:t>
      </w:r>
    </w:p>
    <w:p>
      <w:pPr>
        <w:widowControl/>
        <w:overflowPunct w:val="0"/>
        <w:autoSpaceDE w:val="0"/>
        <w:autoSpaceDN w:val="0"/>
        <w:adjustRightInd w:val="0"/>
        <w:spacing w:line="560" w:lineRule="exact"/>
        <w:ind w:firstLine="640" w:firstLineChars="200"/>
        <w:textAlignment w:val="baseline"/>
        <w:rPr>
          <w:rFonts w:ascii="Times New Roman" w:hAnsi="Times New Roman" w:eastAsia="仿宋_GB2312"/>
          <w:kern w:val="0"/>
          <w:sz w:val="32"/>
          <w:szCs w:val="32"/>
        </w:rPr>
      </w:pPr>
      <w:r>
        <w:rPr>
          <w:rFonts w:hint="eastAsia" w:ascii="Times New Roman" w:hAnsi="Times New Roman" w:eastAsia="仿宋_GB2312"/>
          <w:kern w:val="0"/>
          <w:sz w:val="32"/>
          <w:szCs w:val="32"/>
        </w:rPr>
        <w:t>对“十四五”全市交通基础设施（公路、铁路、民航、邮政、管道）、运输服务、绿色、智慧、安全等方面进行规划研究，提出“十四五”吐鲁番市综合交通重点任务、建设项目、资金匡算等，并研究保障规划实施的政策措施。</w:t>
      </w:r>
    </w:p>
    <w:p>
      <w:pPr>
        <w:widowControl/>
        <w:overflowPunct w:val="0"/>
        <w:autoSpaceDE w:val="0"/>
        <w:autoSpaceDN w:val="0"/>
        <w:adjustRightInd w:val="0"/>
        <w:spacing w:line="560" w:lineRule="exact"/>
        <w:ind w:firstLine="643" w:firstLineChars="200"/>
        <w:textAlignment w:val="baseline"/>
        <w:rPr>
          <w:rFonts w:ascii="Times New Roman" w:hAnsi="Times New Roman" w:eastAsia="仿宋_GB2312"/>
          <w:b/>
          <w:bCs/>
          <w:kern w:val="0"/>
          <w:sz w:val="32"/>
          <w:szCs w:val="32"/>
        </w:rPr>
      </w:pPr>
      <w:r>
        <w:rPr>
          <w:rFonts w:ascii="Times New Roman" w:hAnsi="Times New Roman" w:eastAsia="仿宋_GB2312"/>
          <w:b/>
          <w:bCs/>
          <w:kern w:val="0"/>
          <w:sz w:val="32"/>
          <w:szCs w:val="32"/>
        </w:rPr>
        <w:t>2</w:t>
      </w:r>
      <w:r>
        <w:rPr>
          <w:rFonts w:hint="eastAsia" w:ascii="Times New Roman" w:hAnsi="Times New Roman" w:eastAsia="仿宋_GB2312"/>
          <w:b/>
          <w:bCs/>
          <w:kern w:val="0"/>
          <w:sz w:val="32"/>
          <w:szCs w:val="32"/>
        </w:rPr>
        <w:t>.</w:t>
      </w:r>
      <w:r>
        <w:rPr>
          <w:rFonts w:ascii="Times New Roman" w:hAnsi="Times New Roman" w:eastAsia="仿宋_GB2312"/>
          <w:b/>
          <w:bCs/>
          <w:kern w:val="0"/>
          <w:sz w:val="32"/>
          <w:szCs w:val="32"/>
        </w:rPr>
        <w:t>年度绩效目标</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本项目</w:t>
      </w:r>
      <w:r>
        <w:rPr>
          <w:rFonts w:ascii="Times New Roman" w:hAnsi="Times New Roman" w:eastAsia="仿宋_GB2312"/>
          <w:sz w:val="32"/>
          <w:szCs w:val="32"/>
        </w:rPr>
        <w:t>2021年度绩效目标如下：</w:t>
      </w:r>
    </w:p>
    <w:p>
      <w:pPr>
        <w:widowControl/>
        <w:overflowPunct w:val="0"/>
        <w:autoSpaceDE w:val="0"/>
        <w:autoSpaceDN w:val="0"/>
        <w:adjustRightInd w:val="0"/>
        <w:spacing w:line="580" w:lineRule="exact"/>
        <w:jc w:val="center"/>
        <w:textAlignment w:val="baseline"/>
        <w:rPr>
          <w:rFonts w:ascii="Times New Roman" w:hAnsi="Times New Roman" w:eastAsia="仿宋_GB2312"/>
          <w:b/>
          <w:bCs/>
          <w:kern w:val="0"/>
          <w:sz w:val="24"/>
          <w:szCs w:val="24"/>
        </w:rPr>
      </w:pPr>
      <w:r>
        <w:rPr>
          <w:rFonts w:hint="eastAsia" w:ascii="Times New Roman" w:hAnsi="Times New Roman" w:eastAsia="仿宋_GB2312"/>
          <w:b/>
          <w:bCs/>
          <w:kern w:val="0"/>
          <w:sz w:val="24"/>
          <w:szCs w:val="24"/>
        </w:rPr>
        <w:t>表1-</w:t>
      </w:r>
      <w:r>
        <w:rPr>
          <w:rFonts w:ascii="Times New Roman" w:hAnsi="Times New Roman" w:eastAsia="仿宋_GB2312"/>
          <w:b/>
          <w:bCs/>
          <w:kern w:val="0"/>
          <w:sz w:val="24"/>
          <w:szCs w:val="24"/>
        </w:rPr>
        <w:t>1</w:t>
      </w:r>
      <w:r>
        <w:rPr>
          <w:rFonts w:hint="eastAsia" w:ascii="Times New Roman" w:hAnsi="Times New Roman" w:eastAsia="仿宋_GB2312"/>
          <w:b/>
          <w:bCs/>
          <w:kern w:val="0"/>
          <w:sz w:val="24"/>
          <w:szCs w:val="24"/>
        </w:rPr>
        <w:t xml:space="preserve">  《吐鲁番市“十四五”综合交通运输发展规划》编制费项目绩效目标表</w:t>
      </w:r>
    </w:p>
    <w:tbl>
      <w:tblPr>
        <w:tblStyle w:val="13"/>
        <w:tblW w:w="8921" w:type="dxa"/>
        <w:tblInd w:w="108" w:type="dxa"/>
        <w:tblLayout w:type="fixed"/>
        <w:tblCellMar>
          <w:top w:w="0" w:type="dxa"/>
          <w:left w:w="108" w:type="dxa"/>
          <w:bottom w:w="0" w:type="dxa"/>
          <w:right w:w="108" w:type="dxa"/>
        </w:tblCellMar>
      </w:tblPr>
      <w:tblGrid>
        <w:gridCol w:w="1984"/>
        <w:gridCol w:w="3752"/>
        <w:gridCol w:w="3185"/>
      </w:tblGrid>
      <w:tr>
        <w:tblPrEx>
          <w:tblCellMar>
            <w:top w:w="0" w:type="dxa"/>
            <w:left w:w="108" w:type="dxa"/>
            <w:bottom w:w="0" w:type="dxa"/>
            <w:right w:w="108" w:type="dxa"/>
          </w:tblCellMar>
        </w:tblPrEx>
        <w:trPr>
          <w:cantSplit/>
          <w:trHeight w:val="538" w:hRule="atLeast"/>
          <w:tblHeader/>
        </w:trPr>
        <w:tc>
          <w:tcPr>
            <w:tcW w:w="1984" w:type="dxa"/>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textAlignment w:val="center"/>
              <w:rPr>
                <w:rFonts w:ascii="Times New Roman" w:hAnsi="Times New Roman" w:eastAsia="仿宋_GB2312" w:cs="仿宋_GB2312"/>
                <w:b/>
                <w:bCs/>
                <w:sz w:val="22"/>
                <w:szCs w:val="22"/>
              </w:rPr>
            </w:pPr>
            <w:r>
              <w:rPr>
                <w:rFonts w:hint="eastAsia" w:ascii="Times New Roman" w:hAnsi="Times New Roman" w:eastAsia="仿宋_GB2312" w:cs="仿宋_GB2312"/>
                <w:b/>
                <w:bCs/>
                <w:sz w:val="22"/>
                <w:szCs w:val="22"/>
              </w:rPr>
              <w:t>二级指标</w:t>
            </w:r>
          </w:p>
        </w:tc>
        <w:tc>
          <w:tcPr>
            <w:tcW w:w="3752" w:type="dxa"/>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textAlignment w:val="center"/>
              <w:rPr>
                <w:rFonts w:ascii="Times New Roman" w:hAnsi="Times New Roman" w:eastAsia="仿宋_GB2312" w:cs="仿宋_GB2312"/>
                <w:b/>
                <w:bCs/>
                <w:sz w:val="22"/>
                <w:szCs w:val="22"/>
              </w:rPr>
            </w:pPr>
            <w:r>
              <w:rPr>
                <w:rFonts w:hint="eastAsia" w:ascii="Times New Roman" w:hAnsi="Times New Roman" w:eastAsia="仿宋_GB2312" w:cs="仿宋_GB2312"/>
                <w:b/>
                <w:bCs/>
                <w:sz w:val="22"/>
                <w:szCs w:val="22"/>
              </w:rPr>
              <w:t>三级指标</w:t>
            </w:r>
          </w:p>
        </w:tc>
        <w:tc>
          <w:tcPr>
            <w:tcW w:w="3185" w:type="dxa"/>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textAlignment w:val="center"/>
              <w:rPr>
                <w:rFonts w:ascii="Times New Roman" w:hAnsi="Times New Roman" w:eastAsia="仿宋_GB2312" w:cs="仿宋_GB2312"/>
                <w:b/>
                <w:bCs/>
                <w:sz w:val="22"/>
                <w:szCs w:val="22"/>
              </w:rPr>
            </w:pPr>
            <w:r>
              <w:rPr>
                <w:rFonts w:hint="eastAsia" w:ascii="Times New Roman" w:hAnsi="Times New Roman" w:eastAsia="仿宋_GB2312" w:cs="仿宋_GB2312"/>
                <w:b/>
                <w:bCs/>
                <w:sz w:val="22"/>
                <w:szCs w:val="22"/>
              </w:rPr>
              <w:t>预期指标值</w:t>
            </w:r>
          </w:p>
        </w:tc>
      </w:tr>
      <w:tr>
        <w:tblPrEx>
          <w:tblCellMar>
            <w:top w:w="0" w:type="dxa"/>
            <w:left w:w="108" w:type="dxa"/>
            <w:bottom w:w="0" w:type="dxa"/>
            <w:right w:w="108" w:type="dxa"/>
          </w:tblCellMar>
        </w:tblPrEx>
        <w:trPr>
          <w:trHeight w:val="90" w:hRule="atLeast"/>
        </w:trPr>
        <w:tc>
          <w:tcPr>
            <w:tcW w:w="1984"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数量指标</w:t>
            </w:r>
          </w:p>
        </w:tc>
        <w:tc>
          <w:tcPr>
            <w:tcW w:w="3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专家实地调研次数</w:t>
            </w:r>
          </w:p>
        </w:tc>
        <w:tc>
          <w:tcPr>
            <w:tcW w:w="3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2.0次</w:t>
            </w:r>
          </w:p>
        </w:tc>
      </w:tr>
      <w:tr>
        <w:tblPrEx>
          <w:tblCellMar>
            <w:top w:w="0" w:type="dxa"/>
            <w:left w:w="108" w:type="dxa"/>
            <w:bottom w:w="0" w:type="dxa"/>
            <w:right w:w="108" w:type="dxa"/>
          </w:tblCellMar>
        </w:tblPrEx>
        <w:trPr>
          <w:trHeight w:val="90" w:hRule="atLeast"/>
        </w:trPr>
        <w:tc>
          <w:tcPr>
            <w:tcW w:w="1984"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p>
        </w:tc>
        <w:tc>
          <w:tcPr>
            <w:tcW w:w="3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编制“十四五”综合交通运输发展规划</w:t>
            </w:r>
          </w:p>
        </w:tc>
        <w:tc>
          <w:tcPr>
            <w:tcW w:w="3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1.0本/套</w:t>
            </w:r>
          </w:p>
        </w:tc>
      </w:tr>
      <w:tr>
        <w:tblPrEx>
          <w:tblCellMar>
            <w:top w:w="0" w:type="dxa"/>
            <w:left w:w="108" w:type="dxa"/>
            <w:bottom w:w="0" w:type="dxa"/>
            <w:right w:w="108" w:type="dxa"/>
          </w:tblCellMar>
        </w:tblPrEx>
        <w:trPr>
          <w:trHeight w:val="386" w:hRule="atLeast"/>
        </w:trPr>
        <w:tc>
          <w:tcPr>
            <w:tcW w:w="1984" w:type="dxa"/>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质量指标</w:t>
            </w:r>
          </w:p>
        </w:tc>
        <w:tc>
          <w:tcPr>
            <w:tcW w:w="3752" w:type="dxa"/>
            <w:tcBorders>
              <w:top w:val="single" w:color="auto" w:sz="4" w:space="0"/>
              <w:left w:val="nil"/>
              <w:bottom w:val="single" w:color="auto" w:sz="4" w:space="0"/>
              <w:right w:val="single" w:color="000000"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规划编制通过率</w:t>
            </w:r>
          </w:p>
        </w:tc>
        <w:tc>
          <w:tcPr>
            <w:tcW w:w="3185" w:type="dxa"/>
            <w:tcBorders>
              <w:top w:val="single" w:color="auto" w:sz="4" w:space="0"/>
              <w:left w:val="nil"/>
              <w:bottom w:val="single" w:color="auto" w:sz="4" w:space="0"/>
              <w:right w:val="single" w:color="000000" w:sz="4" w:space="0"/>
            </w:tcBorders>
            <w:vAlign w:val="center"/>
          </w:tcPr>
          <w:p>
            <w:pPr>
              <w:widowControl/>
              <w:jc w:val="center"/>
              <w:textAlignment w:val="center"/>
              <w:rPr>
                <w:rFonts w:ascii="Times New Roman" w:hAnsi="Times New Roman" w:eastAsia="仿宋_GB2312" w:cs="仿宋_GB2312"/>
                <w:sz w:val="22"/>
                <w:szCs w:val="22"/>
              </w:rPr>
            </w:pPr>
            <w:r>
              <w:rPr>
                <w:rFonts w:ascii="Times New Roman" w:hAnsi="Times New Roman" w:eastAsia="仿宋_GB2312" w:cs="仿宋_GB2312"/>
                <w:sz w:val="22"/>
                <w:szCs w:val="22"/>
              </w:rPr>
              <w:t>100%</w:t>
            </w:r>
          </w:p>
        </w:tc>
      </w:tr>
      <w:tr>
        <w:tblPrEx>
          <w:tblCellMar>
            <w:top w:w="0" w:type="dxa"/>
            <w:left w:w="108" w:type="dxa"/>
            <w:bottom w:w="0" w:type="dxa"/>
            <w:right w:w="108" w:type="dxa"/>
          </w:tblCellMar>
        </w:tblPrEx>
        <w:trPr>
          <w:trHeight w:val="576" w:hRule="atLeast"/>
        </w:trPr>
        <w:tc>
          <w:tcPr>
            <w:tcW w:w="1984" w:type="dxa"/>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时效指标</w:t>
            </w:r>
          </w:p>
        </w:tc>
        <w:tc>
          <w:tcPr>
            <w:tcW w:w="3752" w:type="dxa"/>
            <w:tcBorders>
              <w:top w:val="single" w:color="auto" w:sz="4" w:space="0"/>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 xml:space="preserve">项目任务完成时限                    </w:t>
            </w:r>
          </w:p>
        </w:tc>
        <w:tc>
          <w:tcPr>
            <w:tcW w:w="3185" w:type="dxa"/>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2021年11月</w:t>
            </w:r>
          </w:p>
        </w:tc>
      </w:tr>
      <w:tr>
        <w:tblPrEx>
          <w:tblCellMar>
            <w:top w:w="0" w:type="dxa"/>
            <w:left w:w="108" w:type="dxa"/>
            <w:bottom w:w="0" w:type="dxa"/>
            <w:right w:w="108" w:type="dxa"/>
          </w:tblCellMar>
        </w:tblPrEx>
        <w:trPr>
          <w:trHeight w:val="523" w:hRule="atLeast"/>
        </w:trPr>
        <w:tc>
          <w:tcPr>
            <w:tcW w:w="1984" w:type="dxa"/>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成本指标</w:t>
            </w:r>
          </w:p>
        </w:tc>
        <w:tc>
          <w:tcPr>
            <w:tcW w:w="3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咨询服务费</w:t>
            </w:r>
          </w:p>
        </w:tc>
        <w:tc>
          <w:tcPr>
            <w:tcW w:w="3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1200000.0元</w:t>
            </w:r>
          </w:p>
        </w:tc>
      </w:tr>
      <w:tr>
        <w:tblPrEx>
          <w:tblCellMar>
            <w:top w:w="0" w:type="dxa"/>
            <w:left w:w="108" w:type="dxa"/>
            <w:bottom w:w="0" w:type="dxa"/>
            <w:right w:w="108" w:type="dxa"/>
          </w:tblCellMar>
        </w:tblPrEx>
        <w:trPr>
          <w:trHeight w:val="662" w:hRule="atLeast"/>
        </w:trPr>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可持续影响指标</w:t>
            </w:r>
          </w:p>
        </w:tc>
        <w:tc>
          <w:tcPr>
            <w:tcW w:w="3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推动我市交通运输高质量发展</w:t>
            </w:r>
          </w:p>
        </w:tc>
        <w:tc>
          <w:tcPr>
            <w:tcW w:w="3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有效推动</w:t>
            </w:r>
          </w:p>
        </w:tc>
      </w:tr>
      <w:tr>
        <w:tblPrEx>
          <w:tblCellMar>
            <w:top w:w="0" w:type="dxa"/>
            <w:left w:w="108" w:type="dxa"/>
            <w:bottom w:w="0" w:type="dxa"/>
            <w:right w:w="108" w:type="dxa"/>
          </w:tblCellMar>
        </w:tblPrEx>
        <w:trPr>
          <w:trHeight w:val="728" w:hRule="atLeast"/>
        </w:trPr>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满意度指标</w:t>
            </w:r>
          </w:p>
        </w:tc>
        <w:tc>
          <w:tcPr>
            <w:tcW w:w="3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编制工作满意度</w:t>
            </w:r>
          </w:p>
        </w:tc>
        <w:tc>
          <w:tcPr>
            <w:tcW w:w="3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ascii="Times New Roman" w:hAnsi="Times New Roman" w:eastAsia="仿宋_GB2312" w:cs="仿宋_GB2312"/>
                <w:sz w:val="22"/>
                <w:szCs w:val="22"/>
              </w:rPr>
              <w:t>95.0%</w:t>
            </w:r>
          </w:p>
        </w:tc>
      </w:tr>
    </w:tbl>
    <w:p>
      <w:pPr>
        <w:pStyle w:val="86"/>
        <w:outlineLvl w:val="9"/>
        <w:rPr>
          <w:lang w:bidi="ar"/>
        </w:rPr>
      </w:pPr>
      <w:r>
        <w:rPr>
          <w:lang w:bidi="ar"/>
        </w:rPr>
        <w:t xml:space="preserve">二、绩效评价情况 </w:t>
      </w:r>
    </w:p>
    <w:p>
      <w:pPr>
        <w:pStyle w:val="85"/>
        <w:outlineLvl w:val="9"/>
        <w:rPr>
          <w:lang w:bidi="ar"/>
        </w:rPr>
      </w:pPr>
      <w:r>
        <w:rPr>
          <w:lang w:bidi="ar"/>
        </w:rPr>
        <w:t xml:space="preserve">（一）评价结论 </w:t>
      </w:r>
    </w:p>
    <w:p>
      <w:pPr>
        <w:pStyle w:val="85"/>
        <w:ind w:firstLine="640"/>
        <w:outlineLvl w:val="9"/>
        <w:rPr>
          <w:rFonts w:ascii="仿宋_GB2312" w:eastAsia="仿宋_GB2312"/>
          <w:b w:val="0"/>
          <w:bCs/>
          <w:lang w:bidi="ar"/>
        </w:rPr>
      </w:pPr>
      <w:r>
        <w:rPr>
          <w:rFonts w:hint="eastAsia" w:ascii="仿宋_GB2312" w:eastAsia="仿宋_GB2312"/>
          <w:b w:val="0"/>
          <w:bCs/>
          <w:lang w:bidi="ar"/>
        </w:rPr>
        <w:t>评价组对《吐鲁番市“十四五”综合交通运输发展规划》编制费项目进行了独立客观的评价，最终评分结果为92分，评价等级为“优”。</w:t>
      </w:r>
    </w:p>
    <w:p>
      <w:pPr>
        <w:pStyle w:val="85"/>
        <w:outlineLvl w:val="9"/>
        <w:rPr>
          <w:lang w:bidi="ar"/>
        </w:rPr>
      </w:pPr>
      <w:r>
        <w:rPr>
          <w:lang w:bidi="ar"/>
        </w:rPr>
        <w:t>（二）预算执行情况</w:t>
      </w:r>
    </w:p>
    <w:p>
      <w:pPr>
        <w:pStyle w:val="85"/>
        <w:ind w:firstLine="640"/>
        <w:outlineLvl w:val="9"/>
        <w:rPr>
          <w:rFonts w:ascii="仿宋_GB2312" w:eastAsia="仿宋_GB2312"/>
          <w:b w:val="0"/>
          <w:bCs/>
          <w:lang w:bidi="ar"/>
        </w:rPr>
      </w:pPr>
      <w:r>
        <w:rPr>
          <w:rFonts w:hint="eastAsia" w:ascii="仿宋_GB2312" w:eastAsia="仿宋_GB2312"/>
          <w:b w:val="0"/>
          <w:bCs/>
          <w:lang w:bidi="ar"/>
        </w:rPr>
        <w:t>根据</w:t>
      </w:r>
      <w:r>
        <w:rPr>
          <w:rFonts w:hint="eastAsia" w:ascii="仿宋_GB2312" w:hAnsi="仿宋" w:eastAsia="仿宋_GB2312" w:cs="仿宋"/>
          <w:b w:val="0"/>
          <w:bCs/>
        </w:rPr>
        <w:t>吐鲁番市交通运输局</w:t>
      </w:r>
      <w:r>
        <w:rPr>
          <w:rFonts w:hint="eastAsia" w:ascii="仿宋_GB2312" w:eastAsia="仿宋_GB2312"/>
          <w:b w:val="0"/>
          <w:bCs/>
          <w:lang w:bidi="ar"/>
        </w:rPr>
        <w:t>《关于申请〈吐鲁番市综合交通“十四五”发展规划〉编制经费的报告》（吐交发</w:t>
      </w:r>
      <w:r>
        <w:rPr>
          <w:rFonts w:ascii="仿宋_GB2312" w:eastAsia="仿宋_GB2312"/>
          <w:b w:val="0"/>
          <w:bCs/>
          <w:lang w:bidi="ar"/>
        </w:rPr>
        <w:t>[2021]15</w:t>
      </w:r>
      <w:r>
        <w:rPr>
          <w:rFonts w:hint="eastAsia" w:ascii="仿宋_GB2312" w:eastAsia="仿宋_GB2312"/>
          <w:b w:val="0"/>
          <w:bCs/>
          <w:lang w:bidi="ar"/>
        </w:rPr>
        <w:t>号），吐鲁番财政局安排《吐鲁番市综合交通“十四五”发展规划》编制经费项目经费120万元，资金来源为市本级财政拨款资金，</w:t>
      </w:r>
      <w:r>
        <w:rPr>
          <w:rFonts w:ascii="仿宋_GB2312" w:eastAsia="仿宋_GB2312"/>
          <w:b w:val="0"/>
          <w:bCs/>
          <w:lang w:bidi="ar"/>
        </w:rPr>
        <w:t>截止2021年12月</w:t>
      </w:r>
      <w:r>
        <w:rPr>
          <w:rFonts w:hint="eastAsia" w:ascii="仿宋_GB2312" w:eastAsia="仿宋_GB2312"/>
          <w:b w:val="0"/>
          <w:bCs/>
          <w:lang w:bidi="ar"/>
        </w:rPr>
        <w:t>31日，</w:t>
      </w:r>
      <w:r>
        <w:rPr>
          <w:rFonts w:ascii="仿宋_GB2312" w:eastAsia="仿宋_GB2312"/>
          <w:b w:val="0"/>
          <w:bCs/>
          <w:lang w:bidi="ar"/>
        </w:rPr>
        <w:t>实际支出120万元，预算执行率为100%</w:t>
      </w:r>
      <w:r>
        <w:rPr>
          <w:rFonts w:hint="eastAsia" w:ascii="仿宋_GB2312" w:eastAsia="仿宋_GB2312"/>
          <w:b w:val="0"/>
          <w:bCs/>
          <w:lang w:bidi="ar"/>
        </w:rPr>
        <w:t>。</w:t>
      </w:r>
    </w:p>
    <w:p>
      <w:pPr>
        <w:pStyle w:val="85"/>
        <w:outlineLvl w:val="9"/>
        <w:rPr>
          <w:lang w:bidi="ar"/>
        </w:rPr>
      </w:pPr>
      <w:r>
        <w:rPr>
          <w:lang w:bidi="ar"/>
        </w:rPr>
        <w:t xml:space="preserve">（三）项目绩效情况 </w:t>
      </w:r>
    </w:p>
    <w:p>
      <w:pPr>
        <w:spacing w:line="560" w:lineRule="exact"/>
        <w:ind w:firstLine="643" w:firstLineChars="200"/>
        <w:rPr>
          <w:rFonts w:eastAsia="仿宋_GB2312"/>
        </w:rPr>
      </w:pPr>
      <w:r>
        <w:rPr>
          <w:rFonts w:hint="eastAsia" w:ascii="仿宋_GB2312" w:hAnsi="Times New Roman" w:eastAsia="仿宋_GB2312"/>
          <w:b/>
          <w:bCs/>
          <w:kern w:val="0"/>
          <w:sz w:val="32"/>
          <w:szCs w:val="32"/>
        </w:rPr>
        <w:t>保障了当地交通运输高质量发展。</w:t>
      </w:r>
      <w:r>
        <w:rPr>
          <w:rFonts w:hint="eastAsia" w:ascii="仿宋_GB2312" w:hAnsi="Times New Roman" w:eastAsia="仿宋_GB2312"/>
          <w:kern w:val="0"/>
          <w:sz w:val="32"/>
          <w:szCs w:val="32"/>
        </w:rPr>
        <w:t>经核查，《</w:t>
      </w:r>
      <w:r>
        <w:rPr>
          <w:rFonts w:hint="eastAsia" w:ascii="仿宋_GB2312" w:eastAsia="仿宋_GB2312"/>
          <w:color w:val="000000"/>
          <w:kern w:val="0"/>
          <w:sz w:val="32"/>
          <w:szCs w:val="32"/>
        </w:rPr>
        <w:t>吐鲁番“十四五”综合交通运输发展规划》具有合理性、前瞻性、科学性、实用性。发现了吐鲁番市交通发展存在的一些问题和不足，提出了规划思路及目标。为吐鲁番市综合交通“十四五”时期发展方向，为构建安全、便捷、高效、绿色、经济的现代化综合交通体系奠定基础，为推动吐鲁番高质量发展、迈向长治久安提供了有效保障。</w:t>
      </w:r>
    </w:p>
    <w:p>
      <w:pPr>
        <w:pStyle w:val="86"/>
        <w:outlineLvl w:val="9"/>
        <w:rPr>
          <w:lang w:bidi="ar"/>
        </w:rPr>
      </w:pPr>
      <w:r>
        <w:rPr>
          <w:lang w:bidi="ar"/>
        </w:rPr>
        <w:t xml:space="preserve">三、问题和建议 </w:t>
      </w:r>
    </w:p>
    <w:p>
      <w:pPr>
        <w:pStyle w:val="85"/>
        <w:outlineLvl w:val="9"/>
        <w:rPr>
          <w:lang w:bidi="ar"/>
        </w:rPr>
      </w:pPr>
      <w:r>
        <w:rPr>
          <w:lang w:bidi="ar"/>
        </w:rPr>
        <w:t>（</w:t>
      </w:r>
      <w:r>
        <w:rPr>
          <w:rFonts w:hint="eastAsia"/>
          <w:lang w:bidi="ar"/>
        </w:rPr>
        <w:t>一</w:t>
      </w:r>
      <w:r>
        <w:rPr>
          <w:lang w:bidi="ar"/>
        </w:rPr>
        <w:t>）存在的问题与不足</w:t>
      </w:r>
    </w:p>
    <w:p>
      <w:pPr>
        <w:pStyle w:val="85"/>
        <w:outlineLvl w:val="9"/>
        <w:rPr>
          <w:rFonts w:ascii="楷体" w:hAnsi="楷体" w:cs="楷体"/>
          <w:bCs/>
        </w:rPr>
      </w:pPr>
      <w:r>
        <w:rPr>
          <w:rFonts w:hint="eastAsia" w:ascii="楷体" w:hAnsi="楷体" w:cs="楷体"/>
          <w:bCs/>
        </w:rPr>
        <w:t>1</w:t>
      </w:r>
      <w:r>
        <w:rPr>
          <w:rFonts w:ascii="楷体" w:hAnsi="楷体" w:cs="楷体"/>
          <w:bCs/>
        </w:rPr>
        <w:t>.</w:t>
      </w:r>
      <w:r>
        <w:rPr>
          <w:rFonts w:hint="eastAsia" w:ascii="楷体" w:hAnsi="楷体" w:cs="楷体"/>
          <w:bCs/>
          <w:lang w:eastAsia="zh-Hans"/>
        </w:rPr>
        <w:t>绩效目标编制不够科学、</w:t>
      </w:r>
      <w:r>
        <w:rPr>
          <w:rFonts w:hint="eastAsia" w:ascii="楷体" w:hAnsi="楷体" w:cs="楷体"/>
          <w:bCs/>
        </w:rPr>
        <w:t>缺乏</w:t>
      </w:r>
      <w:r>
        <w:rPr>
          <w:rFonts w:hint="eastAsia" w:ascii="楷体" w:hAnsi="楷体" w:cs="楷体"/>
          <w:bCs/>
          <w:lang w:eastAsia="zh-Hans"/>
        </w:rPr>
        <w:t>合理</w:t>
      </w:r>
      <w:r>
        <w:rPr>
          <w:rFonts w:hint="eastAsia" w:ascii="楷体" w:hAnsi="楷体" w:cs="楷体"/>
          <w:bCs/>
        </w:rPr>
        <w:t>性</w:t>
      </w:r>
    </w:p>
    <w:p>
      <w:pPr>
        <w:pStyle w:val="85"/>
        <w:ind w:firstLine="640"/>
        <w:outlineLvl w:val="9"/>
      </w:pPr>
      <w:r>
        <w:rPr>
          <w:rFonts w:hint="eastAsia" w:ascii="仿宋_GB2312" w:eastAsia="仿宋_GB2312"/>
          <w:b w:val="0"/>
          <w:bCs/>
        </w:rPr>
        <w:t>根据吐鲁番市交通运输局提供的绩效目标表，本项目绩效目标设置</w:t>
      </w:r>
      <w:r>
        <w:rPr>
          <w:rFonts w:hint="eastAsia" w:eastAsia="仿宋_GB2312"/>
          <w:b w:val="0"/>
          <w:lang w:eastAsia="zh-Hans"/>
        </w:rPr>
        <w:t>不完整，部分绩效目标不够明确。项目设置</w:t>
      </w:r>
      <w:r>
        <w:rPr>
          <w:rFonts w:hint="eastAsia" w:ascii="仿宋_GB2312" w:eastAsia="仿宋_GB2312"/>
          <w:b w:val="0"/>
          <w:bCs/>
        </w:rPr>
        <w:t>了产出目标（含数量、质量、时效、成本）、可持续影响目标、满意度目标。部分绩效目标设置不合理，如：时效指标：项目任务完成时限，预期指标值为2021年11月，根据工作大纲及合同九月中旬提交报告终稿，未突出项目的及时程度和效率情况；成本指标：咨询服务费，未设定分项成本控制数；服务对象满意度指标设置不合理，指向不够明确，未体现项目直接受益对象。</w:t>
      </w:r>
    </w:p>
    <w:p>
      <w:pPr>
        <w:pStyle w:val="85"/>
        <w:outlineLvl w:val="9"/>
      </w:pPr>
      <w:r>
        <w:rPr>
          <w:rFonts w:hint="eastAsia"/>
        </w:rPr>
        <w:t>2</w:t>
      </w:r>
      <w:r>
        <w:t>.</w:t>
      </w:r>
      <w:r>
        <w:rPr>
          <w:rFonts w:hint="eastAsia"/>
        </w:rPr>
        <w:t>项目绩效自评工作不够真实、客观</w:t>
      </w:r>
    </w:p>
    <w:p>
      <w:pPr>
        <w:pStyle w:val="85"/>
        <w:ind w:firstLine="640"/>
        <w:outlineLvl w:val="9"/>
        <w:rPr>
          <w:rFonts w:eastAsia="仿宋_GB2312"/>
          <w:b w:val="0"/>
          <w:bCs/>
          <w:color w:val="auto"/>
        </w:rPr>
      </w:pPr>
      <w:r>
        <w:rPr>
          <w:rFonts w:hint="eastAsia" w:eastAsia="仿宋_GB2312"/>
          <w:b w:val="0"/>
          <w:bCs/>
          <w:color w:val="auto"/>
        </w:rPr>
        <w:t>根据《吐鲁番“十四五”综合交通运输发展规划》规划编制过程等项目资料核查可知，2021年3月下旬，课题组赴吐鲁番调研，与</w:t>
      </w:r>
      <w:r>
        <w:rPr>
          <w:rFonts w:hint="eastAsia" w:ascii="仿宋_GB2312" w:eastAsia="仿宋_GB2312"/>
          <w:b w:val="0"/>
          <w:bCs/>
        </w:rPr>
        <w:t>吐鲁番市交通运输局提供的绩效自评表中“专家实地调研次数2次”存在偏差。</w:t>
      </w:r>
    </w:p>
    <w:p>
      <w:pPr>
        <w:pStyle w:val="85"/>
        <w:outlineLvl w:val="9"/>
      </w:pPr>
      <w:r>
        <w:rPr>
          <w:lang w:bidi="ar"/>
        </w:rPr>
        <w:t>（</w:t>
      </w:r>
      <w:r>
        <w:rPr>
          <w:rFonts w:hint="eastAsia"/>
          <w:lang w:bidi="ar"/>
        </w:rPr>
        <w:t>二</w:t>
      </w:r>
      <w:r>
        <w:rPr>
          <w:lang w:bidi="ar"/>
        </w:rPr>
        <w:t>）建议和改进措施</w:t>
      </w:r>
    </w:p>
    <w:p>
      <w:pPr>
        <w:widowControl/>
        <w:overflowPunct w:val="0"/>
        <w:autoSpaceDE w:val="0"/>
        <w:autoSpaceDN w:val="0"/>
        <w:adjustRightInd w:val="0"/>
        <w:spacing w:line="560" w:lineRule="exact"/>
        <w:ind w:firstLine="643" w:firstLineChars="200"/>
        <w:textAlignment w:val="baseline"/>
        <w:outlineLvl w:val="1"/>
        <w:rPr>
          <w:rFonts w:ascii="Times New Roman" w:hAnsi="Times New Roman" w:eastAsia="楷体"/>
          <w:b/>
          <w:kern w:val="0"/>
          <w:sz w:val="32"/>
          <w:szCs w:val="32"/>
        </w:rPr>
      </w:pPr>
      <w:r>
        <w:rPr>
          <w:rFonts w:hint="eastAsia" w:ascii="楷体" w:hAnsi="楷体" w:eastAsia="楷体"/>
          <w:b/>
          <w:bCs/>
          <w:kern w:val="0"/>
          <w:sz w:val="32"/>
          <w:szCs w:val="32"/>
        </w:rPr>
        <w:t>1</w:t>
      </w:r>
      <w:r>
        <w:rPr>
          <w:rFonts w:hint="eastAsia" w:ascii="Times New Roman" w:hAnsi="Times New Roman" w:eastAsia="楷体"/>
          <w:b/>
          <w:kern w:val="0"/>
          <w:sz w:val="32"/>
          <w:szCs w:val="32"/>
        </w:rPr>
        <w:t>.提升绩效目标编制水平。</w:t>
      </w:r>
    </w:p>
    <w:p>
      <w:pPr>
        <w:widowControl/>
        <w:overflowPunct w:val="0"/>
        <w:autoSpaceDE w:val="0"/>
        <w:autoSpaceDN w:val="0"/>
        <w:adjustRightInd w:val="0"/>
        <w:spacing w:line="560" w:lineRule="exact"/>
        <w:ind w:firstLine="640" w:firstLineChars="200"/>
        <w:textAlignment w:val="baseline"/>
        <w:rPr>
          <w:rFonts w:ascii="Times New Roman" w:hAnsi="Times New Roman" w:eastAsia="仿宋_GB2312"/>
          <w:bCs/>
          <w:kern w:val="0"/>
          <w:sz w:val="32"/>
          <w:szCs w:val="32"/>
        </w:rPr>
      </w:pPr>
      <w:r>
        <w:rPr>
          <w:rFonts w:hint="eastAsia" w:ascii="Times New Roman" w:hAnsi="Times New Roman" w:eastAsia="仿宋_GB2312"/>
          <w:bCs/>
          <w:kern w:val="0"/>
          <w:sz w:val="32"/>
          <w:szCs w:val="32"/>
        </w:rPr>
        <w:t>针对绩效目标合理性不足的问题，建议吐鲁番市交通运输局加强项目目标研究，提升目标申报水平。首先，在项目绩效目标申报阶段，应认真研究项目特点，从明确性、可衡量性、可实现性、相关性和时限性等方面着手，设置与项目匹配的指标，更好地凸显项目绩效。建议加大绩效管理知识的培训力度，提升对绩效理念的认知。</w:t>
      </w:r>
    </w:p>
    <w:p>
      <w:pPr>
        <w:pStyle w:val="85"/>
      </w:pPr>
      <w:r>
        <w:rPr>
          <w:rFonts w:hint="eastAsia"/>
        </w:rPr>
        <w:t>2</w:t>
      </w:r>
      <w:r>
        <w:t>.</w:t>
      </w:r>
      <w:r>
        <w:rPr>
          <w:rFonts w:hint="eastAsia"/>
        </w:rPr>
        <w:t>加强项目绩效自评工作</w:t>
      </w:r>
    </w:p>
    <w:p>
      <w:pPr>
        <w:pStyle w:val="85"/>
        <w:ind w:firstLine="640"/>
        <w:rPr>
          <w:rFonts w:eastAsia="仿宋_GB2312"/>
          <w:b w:val="0"/>
          <w:bCs/>
          <w:color w:val="auto"/>
        </w:rPr>
      </w:pPr>
      <w:r>
        <w:rPr>
          <w:rFonts w:hint="eastAsia" w:eastAsia="仿宋_GB2312"/>
          <w:b w:val="0"/>
          <w:bCs/>
          <w:color w:val="auto"/>
        </w:rPr>
        <w:t>建议吐鲁番市交通运输局针对项目加强项目绩效自评工作，并在项目建设完成后尽快组织绩效自评相关工作，在开展绩效自评工作时，应及时与项目相关负责人进行沟通，严格按项目实际完成情况出具自评表、自评报告，且实际完成情况应写明具体数值。</w:t>
      </w:r>
    </w:p>
    <w:p>
      <w:pPr>
        <w:widowControl/>
        <w:overflowPunct w:val="0"/>
        <w:autoSpaceDE w:val="0"/>
        <w:autoSpaceDN w:val="0"/>
        <w:adjustRightInd w:val="0"/>
        <w:spacing w:before="120" w:after="120" w:line="560" w:lineRule="exact"/>
        <w:ind w:left="1955" w:leftChars="931" w:firstLine="640" w:firstLineChars="200"/>
        <w:textAlignment w:val="baseline"/>
        <w:rPr>
          <w:rFonts w:ascii="黑体" w:hAnsi="黑体" w:eastAsia="黑体" w:cs="黑体"/>
          <w:kern w:val="0"/>
          <w:sz w:val="32"/>
          <w:szCs w:val="32"/>
          <w:lang w:bidi="en-US"/>
        </w:rPr>
        <w:sectPr>
          <w:footerReference r:id="rId5" w:type="default"/>
          <w:pgSz w:w="11906" w:h="16838"/>
          <w:pgMar w:top="1440" w:right="1797" w:bottom="1440" w:left="1797" w:header="851" w:footer="992" w:gutter="0"/>
          <w:pgNumType w:start="1"/>
          <w:cols w:space="720" w:num="1"/>
          <w:docGrid w:type="lines" w:linePitch="312" w:charSpace="0"/>
        </w:sectPr>
      </w:pPr>
    </w:p>
    <w:sdt>
      <w:sdtPr>
        <w:rPr>
          <w:rFonts w:ascii="宋体" w:hAnsi="宋体"/>
        </w:rPr>
        <w:id w:val="147452942"/>
        <w15:color w:val="DBDBDB"/>
        <w:docPartObj>
          <w:docPartGallery w:val="Table of Contents"/>
          <w:docPartUnique/>
        </w:docPartObj>
      </w:sdtPr>
      <w:sdtEndPr>
        <w:rPr>
          <w:rFonts w:ascii="Times New Roman" w:hAnsi="Times New Roman" w:eastAsia="方正小标宋_GBK"/>
          <w:b/>
          <w:kern w:val="0"/>
          <w:szCs w:val="32"/>
          <w:lang w:bidi="en-US"/>
        </w:rPr>
      </w:sdtEndPr>
      <w:sdtContent>
        <w:p>
          <w:pPr>
            <w:spacing w:line="520" w:lineRule="exact"/>
            <w:jc w:val="center"/>
            <w:textAlignment w:val="baseline"/>
            <w:rPr>
              <w:rFonts w:ascii="Times New Roman" w:hAnsi="Times New Roman" w:eastAsia="黑体"/>
              <w:sz w:val="44"/>
              <w:szCs w:val="44"/>
            </w:rPr>
          </w:pPr>
          <w:r>
            <w:rPr>
              <w:rFonts w:ascii="Times New Roman" w:hAnsi="Times New Roman" w:eastAsia="黑体"/>
              <w:sz w:val="44"/>
              <w:szCs w:val="44"/>
            </w:rPr>
            <w:t>目录</w:t>
          </w:r>
        </w:p>
        <w:p>
          <w:pPr>
            <w:pStyle w:val="9"/>
            <w:tabs>
              <w:tab w:val="right" w:leader="dot" w:pos="8296"/>
            </w:tabs>
            <w:spacing w:line="500" w:lineRule="exact"/>
            <w:ind w:left="420" w:leftChars="200"/>
            <w:rPr>
              <w:rFonts w:ascii="仿宋_GB2312" w:eastAsia="仿宋_GB2312" w:hAnsiTheme="minorHAnsi" w:cstheme="minorBidi"/>
              <w:sz w:val="32"/>
              <w:szCs w:val="32"/>
            </w:rPr>
          </w:pPr>
          <w:r>
            <w:rPr>
              <w:rFonts w:ascii="Times New Roman" w:hAnsi="Times New Roman" w:eastAsia="方正小标宋_GBK"/>
              <w:kern w:val="0"/>
              <w:sz w:val="32"/>
              <w:szCs w:val="32"/>
              <w:lang w:bidi="en-US"/>
            </w:rPr>
            <w:fldChar w:fldCharType="begin"/>
          </w:r>
          <w:r>
            <w:rPr>
              <w:rFonts w:ascii="Times New Roman" w:hAnsi="Times New Roman" w:eastAsia="方正小标宋_GBK"/>
              <w:kern w:val="0"/>
              <w:sz w:val="32"/>
              <w:szCs w:val="32"/>
              <w:lang w:bidi="en-US"/>
            </w:rPr>
            <w:instrText xml:space="preserve">TOC \o "1-2" \h \u </w:instrText>
          </w:r>
          <w:r>
            <w:rPr>
              <w:rFonts w:ascii="Times New Roman" w:hAnsi="Times New Roman" w:eastAsia="方正小标宋_GBK"/>
              <w:kern w:val="0"/>
              <w:sz w:val="32"/>
              <w:szCs w:val="32"/>
              <w:lang w:bidi="en-US"/>
            </w:rPr>
            <w:fldChar w:fldCharType="separate"/>
          </w:r>
          <w:r>
            <w:fldChar w:fldCharType="begin"/>
          </w:r>
          <w:r>
            <w:instrText xml:space="preserve"> HYPERLINK \l "_Toc111833597" </w:instrText>
          </w:r>
          <w:r>
            <w:fldChar w:fldCharType="separate"/>
          </w:r>
          <w:r>
            <w:rPr>
              <w:rStyle w:val="19"/>
              <w:rFonts w:hint="eastAsia" w:ascii="仿宋_GB2312" w:eastAsia="仿宋_GB2312"/>
              <w:sz w:val="32"/>
              <w:szCs w:val="32"/>
              <w:lang w:bidi="en-US"/>
            </w:rPr>
            <w:t>摘要</w:t>
          </w:r>
          <w:r>
            <w:rPr>
              <w:rFonts w:ascii="仿宋_GB2312" w:eastAsia="仿宋_GB2312"/>
              <w:sz w:val="32"/>
              <w:szCs w:val="32"/>
            </w:rPr>
            <w:tab/>
          </w:r>
          <w:r>
            <w:rPr>
              <w:rFonts w:hint="eastAsia" w:ascii="仿宋_GB2312" w:eastAsia="仿宋_GB2312"/>
              <w:sz w:val="32"/>
              <w:szCs w:val="32"/>
            </w:rPr>
            <w:t>1</w:t>
          </w:r>
          <w:r>
            <w:rPr>
              <w:rFonts w:hint="eastAsia" w:ascii="仿宋_GB2312" w:eastAsia="仿宋_GB2312"/>
              <w:sz w:val="32"/>
              <w:szCs w:val="32"/>
            </w:rPr>
            <w:fldChar w:fldCharType="end"/>
          </w:r>
        </w:p>
        <w:p>
          <w:pPr>
            <w:pStyle w:val="9"/>
            <w:tabs>
              <w:tab w:val="right" w:leader="dot" w:pos="8296"/>
            </w:tabs>
            <w:spacing w:line="500" w:lineRule="exact"/>
            <w:rPr>
              <w:rFonts w:ascii="仿宋_GB2312" w:eastAsia="仿宋_GB2312" w:hAnsiTheme="minorHAnsi" w:cstheme="minorBidi"/>
              <w:sz w:val="32"/>
              <w:szCs w:val="32"/>
            </w:rPr>
          </w:pPr>
          <w:r>
            <w:fldChar w:fldCharType="begin"/>
          </w:r>
          <w:r>
            <w:instrText xml:space="preserve"> HYPERLINK \l "_Toc111833598" </w:instrText>
          </w:r>
          <w:r>
            <w:fldChar w:fldCharType="separate"/>
          </w:r>
          <w:r>
            <w:rPr>
              <w:rStyle w:val="19"/>
              <w:rFonts w:hint="eastAsia" w:ascii="仿宋_GB2312" w:hAnsi="Times New Roman" w:eastAsia="仿宋_GB2312"/>
              <w:sz w:val="32"/>
              <w:szCs w:val="32"/>
            </w:rPr>
            <w:t>一、项目概况</w:t>
          </w:r>
          <w:r>
            <w:rPr>
              <w:rFonts w:ascii="仿宋_GB2312" w:eastAsia="仿宋_GB2312"/>
              <w:sz w:val="32"/>
              <w:szCs w:val="32"/>
            </w:rPr>
            <w:tab/>
          </w:r>
          <w:r>
            <w:rPr>
              <w:rFonts w:ascii="仿宋_GB2312" w:eastAsia="仿宋_GB2312"/>
              <w:sz w:val="32"/>
              <w:szCs w:val="32"/>
            </w:rPr>
            <w:fldChar w:fldCharType="begin"/>
          </w:r>
          <w:r>
            <w:rPr>
              <w:rFonts w:ascii="仿宋_GB2312" w:eastAsia="仿宋_GB2312"/>
              <w:sz w:val="32"/>
              <w:szCs w:val="32"/>
            </w:rPr>
            <w:instrText xml:space="preserve"> PAGEREF _Toc111833598 \h </w:instrText>
          </w:r>
          <w:r>
            <w:rPr>
              <w:rFonts w:ascii="仿宋_GB2312" w:eastAsia="仿宋_GB2312"/>
              <w:sz w:val="32"/>
              <w:szCs w:val="32"/>
            </w:rPr>
            <w:fldChar w:fldCharType="separate"/>
          </w:r>
          <w:r>
            <w:rPr>
              <w:rFonts w:ascii="仿宋_GB2312" w:eastAsia="仿宋_GB2312"/>
              <w:sz w:val="32"/>
              <w:szCs w:val="32"/>
            </w:rPr>
            <w:t>5</w:t>
          </w:r>
          <w:r>
            <w:rPr>
              <w:rFonts w:ascii="仿宋_GB2312" w:eastAsia="仿宋_GB2312"/>
              <w:sz w:val="32"/>
              <w:szCs w:val="32"/>
            </w:rPr>
            <w:fldChar w:fldCharType="end"/>
          </w:r>
          <w:r>
            <w:rPr>
              <w:rFonts w:ascii="仿宋_GB2312" w:eastAsia="仿宋_GB2312"/>
              <w:sz w:val="32"/>
              <w:szCs w:val="32"/>
            </w:rPr>
            <w:fldChar w:fldCharType="end"/>
          </w:r>
        </w:p>
        <w:p>
          <w:pPr>
            <w:pStyle w:val="11"/>
            <w:tabs>
              <w:tab w:val="right" w:leader="dot" w:pos="8296"/>
            </w:tabs>
            <w:spacing w:line="500" w:lineRule="exact"/>
            <w:rPr>
              <w:rFonts w:ascii="仿宋_GB2312" w:eastAsia="仿宋_GB2312" w:hAnsiTheme="minorHAnsi" w:cstheme="minorBidi"/>
              <w:sz w:val="32"/>
              <w:szCs w:val="32"/>
            </w:rPr>
          </w:pPr>
          <w:r>
            <w:fldChar w:fldCharType="begin"/>
          </w:r>
          <w:r>
            <w:instrText xml:space="preserve"> HYPERLINK \l "_Toc111833599" </w:instrText>
          </w:r>
          <w:r>
            <w:fldChar w:fldCharType="separate"/>
          </w:r>
          <w:r>
            <w:rPr>
              <w:rStyle w:val="19"/>
              <w:rFonts w:hint="eastAsia" w:ascii="仿宋_GB2312" w:hAnsi="Times New Roman" w:eastAsia="仿宋_GB2312"/>
              <w:kern w:val="0"/>
              <w:sz w:val="32"/>
              <w:szCs w:val="32"/>
            </w:rPr>
            <w:t>（一）项目背景</w:t>
          </w:r>
          <w:r>
            <w:rPr>
              <w:rFonts w:ascii="仿宋_GB2312" w:eastAsia="仿宋_GB2312"/>
              <w:sz w:val="32"/>
              <w:szCs w:val="32"/>
            </w:rPr>
            <w:tab/>
          </w:r>
          <w:r>
            <w:rPr>
              <w:rFonts w:ascii="仿宋_GB2312" w:eastAsia="仿宋_GB2312"/>
              <w:sz w:val="32"/>
              <w:szCs w:val="32"/>
            </w:rPr>
            <w:fldChar w:fldCharType="begin"/>
          </w:r>
          <w:r>
            <w:rPr>
              <w:rFonts w:ascii="仿宋_GB2312" w:eastAsia="仿宋_GB2312"/>
              <w:sz w:val="32"/>
              <w:szCs w:val="32"/>
            </w:rPr>
            <w:instrText xml:space="preserve"> PAGEREF _Toc111833599 \h </w:instrText>
          </w:r>
          <w:r>
            <w:rPr>
              <w:rFonts w:ascii="仿宋_GB2312" w:eastAsia="仿宋_GB2312"/>
              <w:sz w:val="32"/>
              <w:szCs w:val="32"/>
            </w:rPr>
            <w:fldChar w:fldCharType="separate"/>
          </w:r>
          <w:r>
            <w:rPr>
              <w:rFonts w:ascii="仿宋_GB2312" w:eastAsia="仿宋_GB2312"/>
              <w:sz w:val="32"/>
              <w:szCs w:val="32"/>
            </w:rPr>
            <w:t>5</w:t>
          </w:r>
          <w:r>
            <w:rPr>
              <w:rFonts w:ascii="仿宋_GB2312" w:eastAsia="仿宋_GB2312"/>
              <w:sz w:val="32"/>
              <w:szCs w:val="32"/>
            </w:rPr>
            <w:fldChar w:fldCharType="end"/>
          </w:r>
          <w:r>
            <w:rPr>
              <w:rFonts w:ascii="仿宋_GB2312" w:eastAsia="仿宋_GB2312"/>
              <w:sz w:val="32"/>
              <w:szCs w:val="32"/>
            </w:rPr>
            <w:fldChar w:fldCharType="end"/>
          </w:r>
        </w:p>
        <w:p>
          <w:pPr>
            <w:pStyle w:val="11"/>
            <w:tabs>
              <w:tab w:val="right" w:leader="dot" w:pos="8296"/>
            </w:tabs>
            <w:spacing w:line="500" w:lineRule="exact"/>
            <w:rPr>
              <w:rFonts w:ascii="仿宋_GB2312" w:eastAsia="仿宋_GB2312" w:hAnsiTheme="minorHAnsi" w:cstheme="minorBidi"/>
              <w:sz w:val="32"/>
              <w:szCs w:val="32"/>
            </w:rPr>
          </w:pPr>
          <w:r>
            <w:fldChar w:fldCharType="begin"/>
          </w:r>
          <w:r>
            <w:instrText xml:space="preserve"> HYPERLINK \l "_Toc111833600" </w:instrText>
          </w:r>
          <w:r>
            <w:fldChar w:fldCharType="separate"/>
          </w:r>
          <w:r>
            <w:rPr>
              <w:rStyle w:val="19"/>
              <w:rFonts w:hint="eastAsia" w:ascii="仿宋_GB2312" w:hAnsi="Times New Roman" w:eastAsia="仿宋_GB2312"/>
              <w:kern w:val="0"/>
              <w:sz w:val="32"/>
              <w:szCs w:val="32"/>
            </w:rPr>
            <w:t>（二）项目内容及规模</w:t>
          </w:r>
          <w:r>
            <w:rPr>
              <w:rFonts w:ascii="仿宋_GB2312" w:eastAsia="仿宋_GB2312"/>
              <w:sz w:val="32"/>
              <w:szCs w:val="32"/>
            </w:rPr>
            <w:tab/>
          </w:r>
          <w:r>
            <w:rPr>
              <w:rFonts w:ascii="仿宋_GB2312" w:eastAsia="仿宋_GB2312"/>
              <w:sz w:val="32"/>
              <w:szCs w:val="32"/>
            </w:rPr>
            <w:fldChar w:fldCharType="begin"/>
          </w:r>
          <w:r>
            <w:rPr>
              <w:rFonts w:ascii="仿宋_GB2312" w:eastAsia="仿宋_GB2312"/>
              <w:sz w:val="32"/>
              <w:szCs w:val="32"/>
            </w:rPr>
            <w:instrText xml:space="preserve"> PAGEREF _Toc111833600 \h </w:instrText>
          </w:r>
          <w:r>
            <w:rPr>
              <w:rFonts w:ascii="仿宋_GB2312" w:eastAsia="仿宋_GB2312"/>
              <w:sz w:val="32"/>
              <w:szCs w:val="32"/>
            </w:rPr>
            <w:fldChar w:fldCharType="separate"/>
          </w:r>
          <w:r>
            <w:rPr>
              <w:rFonts w:ascii="仿宋_GB2312" w:eastAsia="仿宋_GB2312"/>
              <w:sz w:val="32"/>
              <w:szCs w:val="32"/>
            </w:rPr>
            <w:t>6</w:t>
          </w:r>
          <w:r>
            <w:rPr>
              <w:rFonts w:ascii="仿宋_GB2312" w:eastAsia="仿宋_GB2312"/>
              <w:sz w:val="32"/>
              <w:szCs w:val="32"/>
            </w:rPr>
            <w:fldChar w:fldCharType="end"/>
          </w:r>
          <w:r>
            <w:rPr>
              <w:rFonts w:ascii="仿宋_GB2312" w:eastAsia="仿宋_GB2312"/>
              <w:sz w:val="32"/>
              <w:szCs w:val="32"/>
            </w:rPr>
            <w:fldChar w:fldCharType="end"/>
          </w:r>
        </w:p>
        <w:p>
          <w:pPr>
            <w:pStyle w:val="11"/>
            <w:tabs>
              <w:tab w:val="right" w:leader="dot" w:pos="8296"/>
            </w:tabs>
            <w:spacing w:line="500" w:lineRule="exact"/>
            <w:rPr>
              <w:rFonts w:ascii="仿宋_GB2312" w:hAnsi="仿宋_GB2312" w:eastAsia="仿宋_GB2312" w:cs="仿宋_GB2312"/>
              <w:sz w:val="32"/>
              <w:szCs w:val="32"/>
            </w:rPr>
          </w:pPr>
          <w:r>
            <w:fldChar w:fldCharType="begin"/>
          </w:r>
          <w:r>
            <w:instrText xml:space="preserve"> HYPERLINK \l "_Toc111833601" </w:instrText>
          </w:r>
          <w:r>
            <w:fldChar w:fldCharType="separate"/>
          </w:r>
          <w:r>
            <w:rPr>
              <w:rStyle w:val="19"/>
              <w:rFonts w:hint="eastAsia" w:ascii="仿宋_GB2312" w:hAnsi="仿宋_GB2312" w:eastAsia="仿宋_GB2312" w:cs="仿宋_GB2312"/>
              <w:kern w:val="0"/>
              <w:sz w:val="32"/>
              <w:szCs w:val="32"/>
            </w:rPr>
            <w:t>（三）资金来源及使用情况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_Toc111833601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1"/>
            <w:tabs>
              <w:tab w:val="right" w:leader="dot" w:pos="8296"/>
            </w:tabs>
            <w:spacing w:line="500" w:lineRule="exact"/>
            <w:rPr>
              <w:rFonts w:ascii="仿宋_GB2312" w:hAnsi="仿宋_GB2312" w:eastAsia="仿宋_GB2312" w:cs="仿宋_GB2312"/>
              <w:sz w:val="32"/>
              <w:szCs w:val="32"/>
            </w:rPr>
          </w:pPr>
          <w:r>
            <w:fldChar w:fldCharType="begin"/>
          </w:r>
          <w:r>
            <w:instrText xml:space="preserve"> HYPERLINK \l "_Toc111833602" </w:instrText>
          </w:r>
          <w:r>
            <w:fldChar w:fldCharType="separate"/>
          </w:r>
          <w:r>
            <w:rPr>
              <w:rStyle w:val="19"/>
              <w:rFonts w:hint="eastAsia" w:ascii="仿宋_GB2312" w:hAnsi="仿宋_GB2312" w:eastAsia="仿宋_GB2312" w:cs="仿宋_GB2312"/>
              <w:sz w:val="32"/>
              <w:szCs w:val="32"/>
            </w:rPr>
            <w:t>（四）项目组织与管理情况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_Toc111833602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1"/>
            <w:tabs>
              <w:tab w:val="right" w:leader="dot" w:pos="8296"/>
            </w:tabs>
            <w:spacing w:line="500" w:lineRule="exact"/>
            <w:rPr>
              <w:rFonts w:ascii="仿宋_GB2312" w:hAnsi="仿宋_GB2312" w:eastAsia="仿宋_GB2312" w:cs="仿宋_GB2312"/>
              <w:sz w:val="32"/>
              <w:szCs w:val="32"/>
            </w:rPr>
          </w:pPr>
          <w:r>
            <w:fldChar w:fldCharType="begin"/>
          </w:r>
          <w:r>
            <w:instrText xml:space="preserve"> HYPERLINK \l "_Toc111833603" </w:instrText>
          </w:r>
          <w:r>
            <w:fldChar w:fldCharType="separate"/>
          </w:r>
          <w:r>
            <w:rPr>
              <w:rStyle w:val="19"/>
              <w:rFonts w:hint="eastAsia" w:ascii="仿宋_GB2312" w:hAnsi="仿宋_GB2312" w:eastAsia="仿宋_GB2312" w:cs="仿宋_GB2312"/>
              <w:sz w:val="32"/>
              <w:szCs w:val="32"/>
            </w:rPr>
            <w:t>（五）项目绩效目标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_Toc111833603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9"/>
            <w:tabs>
              <w:tab w:val="right" w:leader="dot" w:pos="8296"/>
            </w:tabs>
            <w:spacing w:line="500" w:lineRule="exact"/>
            <w:rPr>
              <w:rFonts w:ascii="仿宋_GB2312" w:hAnsi="仿宋_GB2312" w:eastAsia="仿宋_GB2312" w:cs="仿宋_GB2312"/>
              <w:sz w:val="32"/>
              <w:szCs w:val="32"/>
            </w:rPr>
          </w:pPr>
          <w:r>
            <w:fldChar w:fldCharType="begin"/>
          </w:r>
          <w:r>
            <w:instrText xml:space="preserve"> HYPERLINK \l "_Toc111833604" </w:instrText>
          </w:r>
          <w:r>
            <w:fldChar w:fldCharType="separate"/>
          </w:r>
          <w:r>
            <w:rPr>
              <w:rStyle w:val="19"/>
              <w:rFonts w:hint="eastAsia" w:ascii="仿宋_GB2312" w:hAnsi="仿宋_GB2312" w:eastAsia="仿宋_GB2312" w:cs="仿宋_GB2312"/>
              <w:sz w:val="32"/>
              <w:szCs w:val="32"/>
            </w:rPr>
            <w:t>二、评价工作概述</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_Toc111833604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1"/>
            <w:tabs>
              <w:tab w:val="right" w:leader="dot" w:pos="8296"/>
            </w:tabs>
            <w:spacing w:line="500" w:lineRule="exact"/>
            <w:rPr>
              <w:rFonts w:ascii="仿宋_GB2312" w:hAnsi="仿宋_GB2312" w:eastAsia="仿宋_GB2312" w:cs="仿宋_GB2312"/>
              <w:sz w:val="32"/>
              <w:szCs w:val="32"/>
            </w:rPr>
          </w:pPr>
          <w:r>
            <w:fldChar w:fldCharType="begin"/>
          </w:r>
          <w:r>
            <w:instrText xml:space="preserve"> HYPERLINK \l "_Toc111833605" </w:instrText>
          </w:r>
          <w:r>
            <w:fldChar w:fldCharType="separate"/>
          </w:r>
          <w:r>
            <w:rPr>
              <w:rStyle w:val="19"/>
              <w:rFonts w:hint="eastAsia" w:ascii="仿宋_GB2312" w:hAnsi="仿宋_GB2312" w:eastAsia="仿宋_GB2312" w:cs="仿宋_GB2312"/>
              <w:sz w:val="32"/>
              <w:szCs w:val="32"/>
            </w:rPr>
            <w:t>（一）评价目的与原则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_Toc111833605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1"/>
            <w:tabs>
              <w:tab w:val="right" w:leader="dot" w:pos="8296"/>
            </w:tabs>
            <w:spacing w:line="500" w:lineRule="exact"/>
            <w:rPr>
              <w:rFonts w:ascii="仿宋_GB2312" w:eastAsia="仿宋_GB2312" w:hAnsiTheme="minorHAnsi" w:cstheme="minorBidi"/>
              <w:sz w:val="32"/>
              <w:szCs w:val="32"/>
            </w:rPr>
          </w:pPr>
          <w:r>
            <w:fldChar w:fldCharType="begin"/>
          </w:r>
          <w:r>
            <w:instrText xml:space="preserve"> HYPERLINK \l "_Toc111833606" </w:instrText>
          </w:r>
          <w:r>
            <w:fldChar w:fldCharType="separate"/>
          </w:r>
          <w:r>
            <w:rPr>
              <w:rStyle w:val="19"/>
              <w:rFonts w:hint="eastAsia" w:ascii="仿宋_GB2312" w:hAnsi="仿宋_GB2312" w:eastAsia="仿宋_GB2312" w:cs="仿宋_GB2312"/>
              <w:sz w:val="32"/>
              <w:szCs w:val="32"/>
            </w:rPr>
            <w:t>（二）评价方法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_Toc111833606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1"/>
            <w:tabs>
              <w:tab w:val="right" w:leader="dot" w:pos="8296"/>
            </w:tabs>
            <w:spacing w:line="500" w:lineRule="exact"/>
            <w:rPr>
              <w:rFonts w:ascii="仿宋_GB2312" w:eastAsia="仿宋_GB2312" w:hAnsiTheme="minorHAnsi" w:cstheme="minorBidi"/>
              <w:sz w:val="32"/>
              <w:szCs w:val="32"/>
            </w:rPr>
          </w:pPr>
          <w:r>
            <w:fldChar w:fldCharType="begin"/>
          </w:r>
          <w:r>
            <w:instrText xml:space="preserve"> HYPERLINK \l "_Toc111833607" </w:instrText>
          </w:r>
          <w:r>
            <w:fldChar w:fldCharType="separate"/>
          </w:r>
          <w:r>
            <w:rPr>
              <w:rStyle w:val="19"/>
              <w:rFonts w:hint="eastAsia" w:ascii="仿宋_GB2312" w:eastAsia="仿宋_GB2312"/>
              <w:sz w:val="32"/>
              <w:szCs w:val="32"/>
            </w:rPr>
            <w:t>（三）绩效评价指标体系</w:t>
          </w:r>
          <w:r>
            <w:rPr>
              <w:rFonts w:ascii="仿宋_GB2312" w:eastAsia="仿宋_GB2312"/>
              <w:sz w:val="32"/>
              <w:szCs w:val="32"/>
            </w:rPr>
            <w:tab/>
          </w:r>
          <w:r>
            <w:rPr>
              <w:rFonts w:ascii="仿宋_GB2312" w:eastAsia="仿宋_GB2312"/>
              <w:sz w:val="32"/>
              <w:szCs w:val="32"/>
            </w:rPr>
            <w:fldChar w:fldCharType="begin"/>
          </w:r>
          <w:r>
            <w:rPr>
              <w:rFonts w:ascii="仿宋_GB2312" w:eastAsia="仿宋_GB2312"/>
              <w:sz w:val="32"/>
              <w:szCs w:val="32"/>
            </w:rPr>
            <w:instrText xml:space="preserve"> PAGEREF _Toc111833607 \h </w:instrText>
          </w:r>
          <w:r>
            <w:rPr>
              <w:rFonts w:ascii="仿宋_GB2312" w:eastAsia="仿宋_GB2312"/>
              <w:sz w:val="32"/>
              <w:szCs w:val="32"/>
            </w:rPr>
            <w:fldChar w:fldCharType="separate"/>
          </w:r>
          <w:r>
            <w:rPr>
              <w:rFonts w:ascii="仿宋_GB2312" w:eastAsia="仿宋_GB2312"/>
              <w:sz w:val="32"/>
              <w:szCs w:val="32"/>
            </w:rPr>
            <w:t>10</w:t>
          </w:r>
          <w:r>
            <w:rPr>
              <w:rFonts w:ascii="仿宋_GB2312" w:eastAsia="仿宋_GB2312"/>
              <w:sz w:val="32"/>
              <w:szCs w:val="32"/>
            </w:rPr>
            <w:fldChar w:fldCharType="end"/>
          </w:r>
          <w:r>
            <w:rPr>
              <w:rFonts w:ascii="仿宋_GB2312" w:eastAsia="仿宋_GB2312"/>
              <w:sz w:val="32"/>
              <w:szCs w:val="32"/>
            </w:rPr>
            <w:fldChar w:fldCharType="end"/>
          </w:r>
        </w:p>
        <w:p>
          <w:pPr>
            <w:pStyle w:val="11"/>
            <w:tabs>
              <w:tab w:val="right" w:leader="dot" w:pos="8296"/>
            </w:tabs>
            <w:spacing w:line="500" w:lineRule="exact"/>
            <w:rPr>
              <w:rFonts w:ascii="仿宋_GB2312" w:eastAsia="仿宋_GB2312" w:hAnsiTheme="minorHAnsi" w:cstheme="minorBidi"/>
              <w:sz w:val="32"/>
              <w:szCs w:val="32"/>
            </w:rPr>
          </w:pPr>
          <w:r>
            <w:fldChar w:fldCharType="begin"/>
          </w:r>
          <w:r>
            <w:instrText xml:space="preserve"> HYPERLINK \l "_Toc111833608" </w:instrText>
          </w:r>
          <w:r>
            <w:fldChar w:fldCharType="separate"/>
          </w:r>
          <w:r>
            <w:rPr>
              <w:rStyle w:val="19"/>
              <w:rFonts w:hint="eastAsia" w:ascii="仿宋_GB2312" w:eastAsia="仿宋_GB2312"/>
              <w:sz w:val="32"/>
              <w:szCs w:val="32"/>
            </w:rPr>
            <w:t>（四）评价组织实施</w:t>
          </w:r>
          <w:r>
            <w:rPr>
              <w:rFonts w:ascii="仿宋_GB2312" w:eastAsia="仿宋_GB2312"/>
              <w:sz w:val="32"/>
              <w:szCs w:val="32"/>
            </w:rPr>
            <w:tab/>
          </w:r>
          <w:r>
            <w:rPr>
              <w:rFonts w:ascii="仿宋_GB2312" w:eastAsia="仿宋_GB2312"/>
              <w:sz w:val="32"/>
              <w:szCs w:val="32"/>
            </w:rPr>
            <w:fldChar w:fldCharType="begin"/>
          </w:r>
          <w:r>
            <w:rPr>
              <w:rFonts w:ascii="仿宋_GB2312" w:eastAsia="仿宋_GB2312"/>
              <w:sz w:val="32"/>
              <w:szCs w:val="32"/>
            </w:rPr>
            <w:instrText xml:space="preserve"> PAGEREF _Toc111833608 \h </w:instrText>
          </w:r>
          <w:r>
            <w:rPr>
              <w:rFonts w:ascii="仿宋_GB2312" w:eastAsia="仿宋_GB2312"/>
              <w:sz w:val="32"/>
              <w:szCs w:val="32"/>
            </w:rPr>
            <w:fldChar w:fldCharType="separate"/>
          </w:r>
          <w:r>
            <w:rPr>
              <w:rFonts w:ascii="仿宋_GB2312" w:eastAsia="仿宋_GB2312"/>
              <w:sz w:val="32"/>
              <w:szCs w:val="32"/>
            </w:rPr>
            <w:t>12</w:t>
          </w:r>
          <w:r>
            <w:rPr>
              <w:rFonts w:ascii="仿宋_GB2312" w:eastAsia="仿宋_GB2312"/>
              <w:sz w:val="32"/>
              <w:szCs w:val="32"/>
            </w:rPr>
            <w:fldChar w:fldCharType="end"/>
          </w:r>
          <w:r>
            <w:rPr>
              <w:rFonts w:ascii="仿宋_GB2312" w:eastAsia="仿宋_GB2312"/>
              <w:sz w:val="32"/>
              <w:szCs w:val="32"/>
            </w:rPr>
            <w:fldChar w:fldCharType="end"/>
          </w:r>
        </w:p>
        <w:p>
          <w:pPr>
            <w:pStyle w:val="9"/>
            <w:tabs>
              <w:tab w:val="right" w:leader="dot" w:pos="8296"/>
            </w:tabs>
            <w:spacing w:line="500" w:lineRule="exact"/>
            <w:rPr>
              <w:rFonts w:ascii="仿宋_GB2312" w:eastAsia="仿宋_GB2312" w:hAnsiTheme="minorHAnsi" w:cstheme="minorBidi"/>
              <w:sz w:val="32"/>
              <w:szCs w:val="32"/>
            </w:rPr>
          </w:pPr>
          <w:r>
            <w:fldChar w:fldCharType="begin"/>
          </w:r>
          <w:r>
            <w:instrText xml:space="preserve"> HYPERLINK \l "_Toc111833609" </w:instrText>
          </w:r>
          <w:r>
            <w:fldChar w:fldCharType="separate"/>
          </w:r>
          <w:r>
            <w:rPr>
              <w:rStyle w:val="19"/>
              <w:rFonts w:hint="eastAsia" w:ascii="仿宋_GB2312" w:eastAsia="仿宋_GB2312"/>
              <w:sz w:val="32"/>
              <w:szCs w:val="32"/>
            </w:rPr>
            <w:t>三、评价结论</w:t>
          </w:r>
          <w:r>
            <w:rPr>
              <w:rFonts w:ascii="仿宋_GB2312" w:eastAsia="仿宋_GB2312"/>
              <w:sz w:val="32"/>
              <w:szCs w:val="32"/>
            </w:rPr>
            <w:tab/>
          </w:r>
          <w:r>
            <w:rPr>
              <w:rFonts w:ascii="仿宋_GB2312" w:eastAsia="仿宋_GB2312"/>
              <w:sz w:val="32"/>
              <w:szCs w:val="32"/>
            </w:rPr>
            <w:fldChar w:fldCharType="begin"/>
          </w:r>
          <w:r>
            <w:rPr>
              <w:rFonts w:ascii="仿宋_GB2312" w:eastAsia="仿宋_GB2312"/>
              <w:sz w:val="32"/>
              <w:szCs w:val="32"/>
            </w:rPr>
            <w:instrText xml:space="preserve"> PAGEREF _Toc111833609 \h </w:instrText>
          </w:r>
          <w:r>
            <w:rPr>
              <w:rFonts w:ascii="仿宋_GB2312" w:eastAsia="仿宋_GB2312"/>
              <w:sz w:val="32"/>
              <w:szCs w:val="32"/>
            </w:rPr>
            <w:fldChar w:fldCharType="separate"/>
          </w:r>
          <w:r>
            <w:rPr>
              <w:rFonts w:ascii="仿宋_GB2312" w:eastAsia="仿宋_GB2312"/>
              <w:sz w:val="32"/>
              <w:szCs w:val="32"/>
            </w:rPr>
            <w:t>13</w:t>
          </w:r>
          <w:r>
            <w:rPr>
              <w:rFonts w:ascii="仿宋_GB2312" w:eastAsia="仿宋_GB2312"/>
              <w:sz w:val="32"/>
              <w:szCs w:val="32"/>
            </w:rPr>
            <w:fldChar w:fldCharType="end"/>
          </w:r>
          <w:r>
            <w:rPr>
              <w:rFonts w:ascii="仿宋_GB2312" w:eastAsia="仿宋_GB2312"/>
              <w:sz w:val="32"/>
              <w:szCs w:val="32"/>
            </w:rPr>
            <w:fldChar w:fldCharType="end"/>
          </w:r>
        </w:p>
        <w:p>
          <w:pPr>
            <w:pStyle w:val="9"/>
            <w:tabs>
              <w:tab w:val="right" w:leader="dot" w:pos="8296"/>
            </w:tabs>
            <w:spacing w:line="500" w:lineRule="exact"/>
            <w:rPr>
              <w:rFonts w:ascii="仿宋_GB2312" w:eastAsia="仿宋_GB2312" w:hAnsiTheme="minorHAnsi" w:cstheme="minorBidi"/>
              <w:sz w:val="32"/>
              <w:szCs w:val="32"/>
            </w:rPr>
          </w:pPr>
          <w:r>
            <w:fldChar w:fldCharType="begin"/>
          </w:r>
          <w:r>
            <w:instrText xml:space="preserve"> HYPERLINK \l "_Toc111833610" </w:instrText>
          </w:r>
          <w:r>
            <w:fldChar w:fldCharType="separate"/>
          </w:r>
          <w:r>
            <w:rPr>
              <w:rStyle w:val="19"/>
              <w:rFonts w:hint="eastAsia" w:ascii="仿宋_GB2312" w:eastAsia="仿宋_GB2312"/>
              <w:sz w:val="32"/>
              <w:szCs w:val="32"/>
            </w:rPr>
            <w:t>四、绩效评价分析</w:t>
          </w:r>
          <w:r>
            <w:rPr>
              <w:rFonts w:ascii="仿宋_GB2312" w:eastAsia="仿宋_GB2312"/>
              <w:sz w:val="32"/>
              <w:szCs w:val="32"/>
            </w:rPr>
            <w:tab/>
          </w:r>
          <w:r>
            <w:rPr>
              <w:rFonts w:ascii="仿宋_GB2312" w:eastAsia="仿宋_GB2312"/>
              <w:sz w:val="32"/>
              <w:szCs w:val="32"/>
            </w:rPr>
            <w:fldChar w:fldCharType="begin"/>
          </w:r>
          <w:r>
            <w:rPr>
              <w:rFonts w:ascii="仿宋_GB2312" w:eastAsia="仿宋_GB2312"/>
              <w:sz w:val="32"/>
              <w:szCs w:val="32"/>
            </w:rPr>
            <w:instrText xml:space="preserve"> PAGEREF _Toc111833610 \h </w:instrText>
          </w:r>
          <w:r>
            <w:rPr>
              <w:rFonts w:ascii="仿宋_GB2312" w:eastAsia="仿宋_GB2312"/>
              <w:sz w:val="32"/>
              <w:szCs w:val="32"/>
            </w:rPr>
            <w:fldChar w:fldCharType="separate"/>
          </w:r>
          <w:r>
            <w:rPr>
              <w:rFonts w:ascii="仿宋_GB2312" w:eastAsia="仿宋_GB2312"/>
              <w:sz w:val="32"/>
              <w:szCs w:val="32"/>
            </w:rPr>
            <w:t>16</w:t>
          </w:r>
          <w:r>
            <w:rPr>
              <w:rFonts w:ascii="仿宋_GB2312" w:eastAsia="仿宋_GB2312"/>
              <w:sz w:val="32"/>
              <w:szCs w:val="32"/>
            </w:rPr>
            <w:fldChar w:fldCharType="end"/>
          </w:r>
          <w:r>
            <w:rPr>
              <w:rFonts w:ascii="仿宋_GB2312" w:eastAsia="仿宋_GB2312"/>
              <w:sz w:val="32"/>
              <w:szCs w:val="32"/>
            </w:rPr>
            <w:fldChar w:fldCharType="end"/>
          </w:r>
        </w:p>
        <w:p>
          <w:pPr>
            <w:pStyle w:val="11"/>
            <w:tabs>
              <w:tab w:val="right" w:leader="dot" w:pos="8296"/>
            </w:tabs>
            <w:spacing w:line="500" w:lineRule="exact"/>
            <w:rPr>
              <w:rFonts w:ascii="仿宋_GB2312" w:eastAsia="仿宋_GB2312" w:hAnsiTheme="minorHAnsi" w:cstheme="minorBidi"/>
              <w:sz w:val="32"/>
              <w:szCs w:val="32"/>
            </w:rPr>
          </w:pPr>
          <w:r>
            <w:fldChar w:fldCharType="begin"/>
          </w:r>
          <w:r>
            <w:instrText xml:space="preserve"> HYPERLINK \l "_Toc111833611" </w:instrText>
          </w:r>
          <w:r>
            <w:fldChar w:fldCharType="separate"/>
          </w:r>
          <w:r>
            <w:rPr>
              <w:rStyle w:val="19"/>
              <w:rFonts w:hint="eastAsia" w:ascii="仿宋_GB2312" w:eastAsia="仿宋_GB2312"/>
              <w:sz w:val="32"/>
              <w:szCs w:val="32"/>
            </w:rPr>
            <w:t>（一）绩效目标分析</w:t>
          </w:r>
          <w:r>
            <w:rPr>
              <w:rFonts w:ascii="仿宋_GB2312" w:eastAsia="仿宋_GB2312"/>
              <w:sz w:val="32"/>
              <w:szCs w:val="32"/>
            </w:rPr>
            <w:tab/>
          </w:r>
          <w:r>
            <w:rPr>
              <w:rFonts w:ascii="仿宋_GB2312" w:eastAsia="仿宋_GB2312"/>
              <w:sz w:val="32"/>
              <w:szCs w:val="32"/>
            </w:rPr>
            <w:fldChar w:fldCharType="begin"/>
          </w:r>
          <w:r>
            <w:rPr>
              <w:rFonts w:ascii="仿宋_GB2312" w:eastAsia="仿宋_GB2312"/>
              <w:sz w:val="32"/>
              <w:szCs w:val="32"/>
            </w:rPr>
            <w:instrText xml:space="preserve"> PAGEREF _Toc111833611 \h </w:instrText>
          </w:r>
          <w:r>
            <w:rPr>
              <w:rFonts w:ascii="仿宋_GB2312" w:eastAsia="仿宋_GB2312"/>
              <w:sz w:val="32"/>
              <w:szCs w:val="32"/>
            </w:rPr>
            <w:fldChar w:fldCharType="separate"/>
          </w:r>
          <w:r>
            <w:rPr>
              <w:rFonts w:ascii="仿宋_GB2312" w:eastAsia="仿宋_GB2312"/>
              <w:sz w:val="32"/>
              <w:szCs w:val="32"/>
            </w:rPr>
            <w:t>16</w:t>
          </w:r>
          <w:r>
            <w:rPr>
              <w:rFonts w:ascii="仿宋_GB2312" w:eastAsia="仿宋_GB2312"/>
              <w:sz w:val="32"/>
              <w:szCs w:val="32"/>
            </w:rPr>
            <w:fldChar w:fldCharType="end"/>
          </w:r>
          <w:r>
            <w:rPr>
              <w:rFonts w:ascii="仿宋_GB2312" w:eastAsia="仿宋_GB2312"/>
              <w:sz w:val="32"/>
              <w:szCs w:val="32"/>
            </w:rPr>
            <w:fldChar w:fldCharType="end"/>
          </w:r>
        </w:p>
        <w:p>
          <w:pPr>
            <w:pStyle w:val="11"/>
            <w:tabs>
              <w:tab w:val="right" w:leader="dot" w:pos="8296"/>
            </w:tabs>
            <w:spacing w:line="500" w:lineRule="exact"/>
            <w:rPr>
              <w:rFonts w:ascii="仿宋_GB2312" w:eastAsia="仿宋_GB2312" w:hAnsiTheme="minorHAnsi" w:cstheme="minorBidi"/>
              <w:sz w:val="32"/>
              <w:szCs w:val="32"/>
            </w:rPr>
          </w:pPr>
          <w:r>
            <w:fldChar w:fldCharType="begin"/>
          </w:r>
          <w:r>
            <w:instrText xml:space="preserve"> HYPERLINK \l "_Toc111833612" </w:instrText>
          </w:r>
          <w:r>
            <w:fldChar w:fldCharType="separate"/>
          </w:r>
          <w:r>
            <w:rPr>
              <w:rStyle w:val="19"/>
              <w:rFonts w:hint="eastAsia" w:ascii="仿宋_GB2312" w:eastAsia="仿宋_GB2312"/>
              <w:sz w:val="32"/>
              <w:szCs w:val="32"/>
            </w:rPr>
            <w:t>（二）项目管理分析</w:t>
          </w:r>
          <w:r>
            <w:rPr>
              <w:rFonts w:ascii="仿宋_GB2312" w:eastAsia="仿宋_GB2312"/>
              <w:sz w:val="32"/>
              <w:szCs w:val="32"/>
            </w:rPr>
            <w:tab/>
          </w:r>
          <w:r>
            <w:rPr>
              <w:rFonts w:ascii="仿宋_GB2312" w:eastAsia="仿宋_GB2312"/>
              <w:sz w:val="32"/>
              <w:szCs w:val="32"/>
            </w:rPr>
            <w:fldChar w:fldCharType="begin"/>
          </w:r>
          <w:r>
            <w:rPr>
              <w:rFonts w:ascii="仿宋_GB2312" w:eastAsia="仿宋_GB2312"/>
              <w:sz w:val="32"/>
              <w:szCs w:val="32"/>
            </w:rPr>
            <w:instrText xml:space="preserve"> PAGEREF _Toc111833612 \h </w:instrText>
          </w:r>
          <w:r>
            <w:rPr>
              <w:rFonts w:ascii="仿宋_GB2312" w:eastAsia="仿宋_GB2312"/>
              <w:sz w:val="32"/>
              <w:szCs w:val="32"/>
            </w:rPr>
            <w:fldChar w:fldCharType="separate"/>
          </w:r>
          <w:r>
            <w:rPr>
              <w:rFonts w:ascii="仿宋_GB2312" w:eastAsia="仿宋_GB2312"/>
              <w:sz w:val="32"/>
              <w:szCs w:val="32"/>
            </w:rPr>
            <w:t>16</w:t>
          </w:r>
          <w:r>
            <w:rPr>
              <w:rFonts w:ascii="仿宋_GB2312" w:eastAsia="仿宋_GB2312"/>
              <w:sz w:val="32"/>
              <w:szCs w:val="32"/>
            </w:rPr>
            <w:fldChar w:fldCharType="end"/>
          </w:r>
          <w:r>
            <w:rPr>
              <w:rFonts w:ascii="仿宋_GB2312" w:eastAsia="仿宋_GB2312"/>
              <w:sz w:val="32"/>
              <w:szCs w:val="32"/>
            </w:rPr>
            <w:fldChar w:fldCharType="end"/>
          </w:r>
        </w:p>
        <w:p>
          <w:pPr>
            <w:pStyle w:val="11"/>
            <w:tabs>
              <w:tab w:val="right" w:leader="dot" w:pos="8296"/>
            </w:tabs>
            <w:spacing w:line="500" w:lineRule="exact"/>
            <w:rPr>
              <w:rFonts w:ascii="仿宋_GB2312" w:eastAsia="仿宋_GB2312" w:hAnsiTheme="minorHAnsi" w:cstheme="minorBidi"/>
              <w:sz w:val="32"/>
              <w:szCs w:val="32"/>
            </w:rPr>
          </w:pPr>
          <w:r>
            <w:fldChar w:fldCharType="begin"/>
          </w:r>
          <w:r>
            <w:instrText xml:space="preserve"> HYPERLINK \l "_Toc111833613" </w:instrText>
          </w:r>
          <w:r>
            <w:fldChar w:fldCharType="separate"/>
          </w:r>
          <w:r>
            <w:rPr>
              <w:rStyle w:val="19"/>
              <w:rFonts w:hint="eastAsia" w:ascii="仿宋_GB2312" w:eastAsia="仿宋_GB2312"/>
              <w:sz w:val="32"/>
              <w:szCs w:val="32"/>
            </w:rPr>
            <w:t>（三）项目绩效分析</w:t>
          </w:r>
          <w:r>
            <w:rPr>
              <w:rFonts w:ascii="仿宋_GB2312" w:eastAsia="仿宋_GB2312"/>
              <w:sz w:val="32"/>
              <w:szCs w:val="32"/>
            </w:rPr>
            <w:tab/>
          </w:r>
          <w:r>
            <w:rPr>
              <w:rFonts w:ascii="仿宋_GB2312" w:eastAsia="仿宋_GB2312"/>
              <w:sz w:val="32"/>
              <w:szCs w:val="32"/>
            </w:rPr>
            <w:fldChar w:fldCharType="begin"/>
          </w:r>
          <w:r>
            <w:rPr>
              <w:rFonts w:ascii="仿宋_GB2312" w:eastAsia="仿宋_GB2312"/>
              <w:sz w:val="32"/>
              <w:szCs w:val="32"/>
            </w:rPr>
            <w:instrText xml:space="preserve"> PAGEREF _Toc111833613 \h </w:instrText>
          </w:r>
          <w:r>
            <w:rPr>
              <w:rFonts w:ascii="仿宋_GB2312" w:eastAsia="仿宋_GB2312"/>
              <w:sz w:val="32"/>
              <w:szCs w:val="32"/>
            </w:rPr>
            <w:fldChar w:fldCharType="separate"/>
          </w:r>
          <w:r>
            <w:rPr>
              <w:rFonts w:ascii="仿宋_GB2312" w:eastAsia="仿宋_GB2312"/>
              <w:sz w:val="32"/>
              <w:szCs w:val="32"/>
            </w:rPr>
            <w:t>17</w:t>
          </w:r>
          <w:r>
            <w:rPr>
              <w:rFonts w:ascii="仿宋_GB2312" w:eastAsia="仿宋_GB2312"/>
              <w:sz w:val="32"/>
              <w:szCs w:val="32"/>
            </w:rPr>
            <w:fldChar w:fldCharType="end"/>
          </w:r>
          <w:r>
            <w:rPr>
              <w:rFonts w:ascii="仿宋_GB2312" w:eastAsia="仿宋_GB2312"/>
              <w:sz w:val="32"/>
              <w:szCs w:val="32"/>
            </w:rPr>
            <w:fldChar w:fldCharType="end"/>
          </w:r>
        </w:p>
        <w:p>
          <w:pPr>
            <w:pStyle w:val="9"/>
            <w:tabs>
              <w:tab w:val="right" w:leader="dot" w:pos="8296"/>
            </w:tabs>
            <w:spacing w:line="500" w:lineRule="exact"/>
            <w:rPr>
              <w:rFonts w:ascii="仿宋_GB2312" w:eastAsia="仿宋_GB2312" w:hAnsiTheme="minorHAnsi" w:cstheme="minorBidi"/>
              <w:sz w:val="32"/>
              <w:szCs w:val="32"/>
            </w:rPr>
          </w:pPr>
          <w:r>
            <w:fldChar w:fldCharType="begin"/>
          </w:r>
          <w:r>
            <w:instrText xml:space="preserve"> HYPERLINK \l "_Toc111833614" </w:instrText>
          </w:r>
          <w:r>
            <w:fldChar w:fldCharType="separate"/>
          </w:r>
          <w:r>
            <w:rPr>
              <w:rStyle w:val="19"/>
              <w:rFonts w:hint="eastAsia" w:ascii="仿宋_GB2312" w:eastAsia="仿宋_GB2312"/>
              <w:sz w:val="32"/>
              <w:szCs w:val="32"/>
            </w:rPr>
            <w:t>五、存在的问题</w:t>
          </w:r>
          <w:r>
            <w:rPr>
              <w:rFonts w:ascii="仿宋_GB2312" w:eastAsia="仿宋_GB2312"/>
              <w:sz w:val="32"/>
              <w:szCs w:val="32"/>
            </w:rPr>
            <w:tab/>
          </w:r>
          <w:r>
            <w:rPr>
              <w:rFonts w:ascii="仿宋_GB2312" w:eastAsia="仿宋_GB2312"/>
              <w:sz w:val="32"/>
              <w:szCs w:val="32"/>
            </w:rPr>
            <w:fldChar w:fldCharType="begin"/>
          </w:r>
          <w:r>
            <w:rPr>
              <w:rFonts w:ascii="仿宋_GB2312" w:eastAsia="仿宋_GB2312"/>
              <w:sz w:val="32"/>
              <w:szCs w:val="32"/>
            </w:rPr>
            <w:instrText xml:space="preserve"> PAGEREF _Toc111833614 \h </w:instrText>
          </w:r>
          <w:r>
            <w:rPr>
              <w:rFonts w:ascii="仿宋_GB2312" w:eastAsia="仿宋_GB2312"/>
              <w:sz w:val="32"/>
              <w:szCs w:val="32"/>
            </w:rPr>
            <w:fldChar w:fldCharType="separate"/>
          </w:r>
          <w:r>
            <w:rPr>
              <w:rFonts w:ascii="仿宋_GB2312" w:eastAsia="仿宋_GB2312"/>
              <w:sz w:val="32"/>
              <w:szCs w:val="32"/>
            </w:rPr>
            <w:t>17</w:t>
          </w:r>
          <w:r>
            <w:rPr>
              <w:rFonts w:ascii="仿宋_GB2312" w:eastAsia="仿宋_GB2312"/>
              <w:sz w:val="32"/>
              <w:szCs w:val="32"/>
            </w:rPr>
            <w:fldChar w:fldCharType="end"/>
          </w:r>
          <w:r>
            <w:rPr>
              <w:rFonts w:ascii="仿宋_GB2312" w:eastAsia="仿宋_GB2312"/>
              <w:sz w:val="32"/>
              <w:szCs w:val="32"/>
            </w:rPr>
            <w:fldChar w:fldCharType="end"/>
          </w:r>
        </w:p>
        <w:p>
          <w:pPr>
            <w:pStyle w:val="9"/>
            <w:tabs>
              <w:tab w:val="right" w:leader="dot" w:pos="8296"/>
            </w:tabs>
            <w:spacing w:line="500" w:lineRule="exact"/>
            <w:rPr>
              <w:rFonts w:ascii="仿宋_GB2312" w:eastAsia="仿宋_GB2312" w:hAnsiTheme="minorHAnsi" w:cstheme="minorBidi"/>
              <w:sz w:val="32"/>
              <w:szCs w:val="32"/>
            </w:rPr>
          </w:pPr>
          <w:r>
            <w:fldChar w:fldCharType="begin"/>
          </w:r>
          <w:r>
            <w:instrText xml:space="preserve"> HYPERLINK \l "_Toc111833615" </w:instrText>
          </w:r>
          <w:r>
            <w:fldChar w:fldCharType="separate"/>
          </w:r>
          <w:r>
            <w:rPr>
              <w:rStyle w:val="19"/>
              <w:rFonts w:hint="eastAsia" w:ascii="仿宋_GB2312" w:eastAsia="仿宋_GB2312"/>
              <w:sz w:val="32"/>
              <w:szCs w:val="32"/>
            </w:rPr>
            <w:t>六、相关建议</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_Toc111833615 \h </w:instrText>
          </w:r>
          <w:r>
            <w:rPr>
              <w:rFonts w:hint="eastAsia" w:ascii="仿宋_GB2312" w:eastAsia="仿宋_GB2312"/>
              <w:sz w:val="32"/>
              <w:szCs w:val="32"/>
            </w:rPr>
            <w:fldChar w:fldCharType="separate"/>
          </w:r>
          <w:r>
            <w:rPr>
              <w:rFonts w:hint="eastAsia" w:ascii="仿宋_GB2312" w:eastAsia="仿宋_GB2312"/>
              <w:sz w:val="32"/>
              <w:szCs w:val="32"/>
            </w:rPr>
            <w:t>18</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tabs>
              <w:tab w:val="right" w:leader="dot" w:pos="8296"/>
            </w:tabs>
            <w:spacing w:line="500" w:lineRule="exact"/>
            <w:ind w:left="0" w:leftChars="0"/>
            <w:rPr>
              <w:rFonts w:ascii="仿宋_GB2312" w:eastAsia="仿宋_GB2312" w:hAnsiTheme="minorHAnsi" w:cstheme="minorBidi"/>
              <w:sz w:val="32"/>
              <w:szCs w:val="32"/>
            </w:rPr>
          </w:pPr>
          <w:r>
            <w:fldChar w:fldCharType="begin"/>
          </w:r>
          <w:r>
            <w:instrText xml:space="preserve"> HYPERLINK \l "_Toc111833619" </w:instrText>
          </w:r>
          <w:r>
            <w:fldChar w:fldCharType="separate"/>
          </w:r>
          <w:r>
            <w:rPr>
              <w:rStyle w:val="19"/>
              <w:rFonts w:hint="eastAsia" w:ascii="仿宋_GB2312" w:hAnsi="黑体" w:eastAsia="仿宋_GB2312"/>
              <w:sz w:val="32"/>
              <w:szCs w:val="32"/>
            </w:rPr>
            <w:t>七、其他需要说明的问题</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_Toc111833619 \h </w:instrText>
          </w:r>
          <w:r>
            <w:rPr>
              <w:rFonts w:hint="eastAsia" w:ascii="仿宋_GB2312" w:eastAsia="仿宋_GB2312"/>
              <w:sz w:val="32"/>
              <w:szCs w:val="32"/>
            </w:rPr>
            <w:fldChar w:fldCharType="separate"/>
          </w:r>
          <w:r>
            <w:rPr>
              <w:rFonts w:hint="eastAsia" w:ascii="仿宋_GB2312" w:eastAsia="仿宋_GB2312"/>
              <w:sz w:val="32"/>
              <w:szCs w:val="32"/>
            </w:rPr>
            <w:t>19</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8296"/>
            </w:tabs>
            <w:spacing w:line="500" w:lineRule="exact"/>
            <w:rPr>
              <w:rFonts w:ascii="仿宋_GB2312" w:eastAsia="仿宋_GB2312"/>
              <w:sz w:val="32"/>
              <w:szCs w:val="32"/>
            </w:rPr>
          </w:pPr>
          <w:r>
            <w:fldChar w:fldCharType="begin"/>
          </w:r>
          <w:r>
            <w:instrText xml:space="preserve"> HYPERLINK \l "_Toc111833620" </w:instrText>
          </w:r>
          <w:r>
            <w:fldChar w:fldCharType="separate"/>
          </w:r>
          <w:r>
            <w:rPr>
              <w:rStyle w:val="19"/>
              <w:rFonts w:ascii="仿宋_GB2312" w:hAnsi="黑体" w:eastAsia="仿宋_GB2312"/>
              <w:sz w:val="32"/>
              <w:szCs w:val="32"/>
            </w:rPr>
            <w:t>附件1综合评分表</w:t>
          </w:r>
          <w:r>
            <w:rPr>
              <w:rFonts w:ascii="仿宋_GB2312" w:eastAsia="仿宋_GB2312"/>
              <w:sz w:val="32"/>
              <w:szCs w:val="32"/>
            </w:rPr>
            <w:tab/>
          </w:r>
          <w:r>
            <w:rPr>
              <w:rFonts w:ascii="仿宋_GB2312" w:eastAsia="仿宋_GB2312"/>
              <w:sz w:val="32"/>
              <w:szCs w:val="32"/>
            </w:rPr>
            <w:fldChar w:fldCharType="begin"/>
          </w:r>
          <w:r>
            <w:rPr>
              <w:rFonts w:ascii="仿宋_GB2312" w:eastAsia="仿宋_GB2312"/>
              <w:sz w:val="32"/>
              <w:szCs w:val="32"/>
            </w:rPr>
            <w:instrText xml:space="preserve"> PAGEREF _Toc111833620 \h </w:instrText>
          </w:r>
          <w:r>
            <w:rPr>
              <w:rFonts w:ascii="仿宋_GB2312" w:eastAsia="仿宋_GB2312"/>
              <w:sz w:val="32"/>
              <w:szCs w:val="32"/>
            </w:rPr>
            <w:fldChar w:fldCharType="separate"/>
          </w:r>
          <w:r>
            <w:rPr>
              <w:rFonts w:ascii="仿宋_GB2312" w:eastAsia="仿宋_GB2312"/>
              <w:sz w:val="32"/>
              <w:szCs w:val="32"/>
            </w:rPr>
            <w:t>20</w:t>
          </w:r>
          <w:r>
            <w:rPr>
              <w:rFonts w:ascii="仿宋_GB2312" w:eastAsia="仿宋_GB2312"/>
              <w:sz w:val="32"/>
              <w:szCs w:val="32"/>
            </w:rPr>
            <w:fldChar w:fldCharType="end"/>
          </w:r>
          <w:r>
            <w:rPr>
              <w:rFonts w:ascii="仿宋_GB2312" w:eastAsia="仿宋_GB2312"/>
              <w:sz w:val="32"/>
              <w:szCs w:val="32"/>
            </w:rPr>
            <w:fldChar w:fldCharType="end"/>
          </w:r>
        </w:p>
        <w:p>
          <w:pPr>
            <w:pStyle w:val="9"/>
            <w:tabs>
              <w:tab w:val="right" w:leader="dot" w:pos="8296"/>
            </w:tabs>
            <w:spacing w:line="500" w:lineRule="exact"/>
            <w:rPr>
              <w:rFonts w:ascii="仿宋_GB2312" w:eastAsia="仿宋_GB2312"/>
              <w:sz w:val="32"/>
              <w:szCs w:val="32"/>
            </w:rPr>
          </w:pPr>
          <w:r>
            <w:fldChar w:fldCharType="begin"/>
          </w:r>
          <w:r>
            <w:instrText xml:space="preserve"> HYPERLINK \l "_Toc111833620" </w:instrText>
          </w:r>
          <w:r>
            <w:fldChar w:fldCharType="separate"/>
          </w:r>
          <w:r>
            <w:rPr>
              <w:rStyle w:val="19"/>
              <w:rFonts w:ascii="仿宋_GB2312" w:hAnsi="黑体" w:eastAsia="仿宋_GB2312"/>
              <w:sz w:val="32"/>
              <w:szCs w:val="32"/>
            </w:rPr>
            <w:t>附件2</w:t>
          </w:r>
          <w:r>
            <w:rPr>
              <w:rStyle w:val="19"/>
              <w:rFonts w:hint="eastAsia" w:ascii="仿宋_GB2312" w:hAnsi="黑体" w:eastAsia="仿宋_GB2312"/>
              <w:sz w:val="32"/>
              <w:szCs w:val="32"/>
            </w:rPr>
            <w:t>访谈报告</w:t>
          </w:r>
          <w:r>
            <w:rPr>
              <w:rFonts w:ascii="仿宋_GB2312" w:eastAsia="仿宋_GB2312"/>
              <w:sz w:val="32"/>
              <w:szCs w:val="32"/>
            </w:rPr>
            <w:tab/>
          </w:r>
          <w:r>
            <w:rPr>
              <w:rFonts w:ascii="仿宋_GB2312" w:eastAsia="仿宋_GB2312"/>
              <w:sz w:val="32"/>
              <w:szCs w:val="32"/>
            </w:rPr>
            <w:t>29</w:t>
          </w:r>
          <w:r>
            <w:rPr>
              <w:rFonts w:ascii="仿宋_GB2312" w:eastAsia="仿宋_GB2312"/>
              <w:sz w:val="32"/>
              <w:szCs w:val="32"/>
            </w:rPr>
            <w:fldChar w:fldCharType="end"/>
          </w:r>
        </w:p>
        <w:p>
          <w:pPr>
            <w:pStyle w:val="9"/>
            <w:tabs>
              <w:tab w:val="right" w:leader="dot" w:pos="8296"/>
            </w:tabs>
            <w:spacing w:line="500" w:lineRule="exact"/>
            <w:rPr>
              <w:rFonts w:asciiTheme="minorHAnsi" w:hAnsiTheme="minorHAnsi" w:eastAsiaTheme="minorEastAsia" w:cstheme="minorBidi"/>
              <w:sz w:val="32"/>
              <w:szCs w:val="32"/>
            </w:rPr>
          </w:pPr>
          <w:r>
            <w:fldChar w:fldCharType="begin"/>
          </w:r>
          <w:r>
            <w:instrText xml:space="preserve"> HYPERLINK \l "_Toc111833620" </w:instrText>
          </w:r>
          <w:r>
            <w:fldChar w:fldCharType="separate"/>
          </w:r>
          <w:r>
            <w:rPr>
              <w:rStyle w:val="19"/>
              <w:rFonts w:ascii="仿宋_GB2312" w:hAnsi="黑体" w:eastAsia="仿宋_GB2312"/>
              <w:sz w:val="32"/>
              <w:szCs w:val="32"/>
            </w:rPr>
            <w:t>附件3</w:t>
          </w:r>
          <w:r>
            <w:rPr>
              <w:rStyle w:val="19"/>
              <w:rFonts w:hint="eastAsia" w:ascii="仿宋_GB2312" w:hAnsi="黑体" w:eastAsia="仿宋_GB2312"/>
              <w:sz w:val="32"/>
              <w:szCs w:val="32"/>
            </w:rPr>
            <w:t>相关佐证材料</w:t>
          </w:r>
          <w:r>
            <w:rPr>
              <w:rFonts w:ascii="仿宋_GB2312" w:eastAsia="仿宋_GB2312"/>
              <w:sz w:val="32"/>
              <w:szCs w:val="32"/>
            </w:rPr>
            <w:tab/>
          </w:r>
          <w:r>
            <w:rPr>
              <w:rFonts w:ascii="仿宋_GB2312" w:eastAsia="仿宋_GB2312"/>
              <w:sz w:val="32"/>
              <w:szCs w:val="32"/>
            </w:rPr>
            <w:t>38</w:t>
          </w:r>
          <w:r>
            <w:rPr>
              <w:rFonts w:ascii="仿宋_GB2312" w:eastAsia="仿宋_GB2312"/>
              <w:sz w:val="32"/>
              <w:szCs w:val="32"/>
            </w:rPr>
            <w:fldChar w:fldCharType="end"/>
          </w:r>
        </w:p>
        <w:p>
          <w:pPr>
            <w:widowControl/>
            <w:spacing w:line="500" w:lineRule="exact"/>
            <w:jc w:val="left"/>
            <w:rPr>
              <w:rFonts w:ascii="仿宋" w:hAnsi="仿宋" w:eastAsia="仿宋" w:cs="仿宋"/>
              <w:sz w:val="28"/>
              <w:szCs w:val="28"/>
            </w:rPr>
          </w:pPr>
          <w:r>
            <w:rPr>
              <w:rFonts w:ascii="Times New Roman" w:hAnsi="Times New Roman" w:eastAsia="方正小标宋_GBK"/>
              <w:kern w:val="0"/>
              <w:sz w:val="20"/>
              <w:szCs w:val="32"/>
              <w:lang w:bidi="en-US"/>
            </w:rPr>
            <w:fldChar w:fldCharType="end"/>
          </w:r>
        </w:p>
      </w:sdtContent>
    </w:sdt>
    <w:p>
      <w:pPr>
        <w:pStyle w:val="39"/>
        <w:spacing w:line="500" w:lineRule="exact"/>
        <w:ind w:firstLine="723" w:firstLineChars="200"/>
        <w:jc w:val="center"/>
        <w:rPr>
          <w:sz w:val="36"/>
          <w:szCs w:val="36"/>
        </w:rPr>
        <w:sectPr>
          <w:footerReference r:id="rId6" w:type="default"/>
          <w:pgSz w:w="11906" w:h="16838"/>
          <w:pgMar w:top="2155" w:right="1531" w:bottom="1985" w:left="1531" w:header="510" w:footer="1701" w:gutter="0"/>
          <w:cols w:space="0" w:num="1"/>
          <w:docGrid w:linePitch="312" w:charSpace="0"/>
        </w:sectPr>
      </w:pPr>
      <w:bookmarkStart w:id="2" w:name="_Toc14707"/>
      <w:bookmarkStart w:id="3" w:name="_Toc29122"/>
    </w:p>
    <w:p>
      <w:pPr>
        <w:pStyle w:val="39"/>
        <w:spacing w:line="580" w:lineRule="exact"/>
        <w:ind w:firstLine="723" w:firstLineChars="200"/>
        <w:jc w:val="center"/>
        <w:rPr>
          <w:sz w:val="36"/>
          <w:szCs w:val="36"/>
        </w:rPr>
      </w:pPr>
      <w:r>
        <w:rPr>
          <w:rFonts w:hint="eastAsia"/>
          <w:sz w:val="36"/>
          <w:szCs w:val="36"/>
        </w:rPr>
        <w:t>202</w:t>
      </w:r>
      <w:r>
        <w:rPr>
          <w:sz w:val="36"/>
          <w:szCs w:val="36"/>
        </w:rPr>
        <w:t>1</w:t>
      </w:r>
      <w:r>
        <w:rPr>
          <w:rFonts w:hint="eastAsia"/>
          <w:sz w:val="36"/>
          <w:szCs w:val="36"/>
        </w:rPr>
        <w:t>年《吐鲁番市“十四五”综合交通运输发展规划》编制费项目绩效评价报告</w:t>
      </w:r>
    </w:p>
    <w:p>
      <w:pPr>
        <w:pStyle w:val="39"/>
        <w:ind w:firstLine="640" w:firstLineChars="200"/>
        <w:rPr>
          <w:rFonts w:ascii="Times New Roman" w:hAnsi="Times New Roman" w:eastAsia="仿宋_GB2312"/>
          <w:b w:val="0"/>
          <w:szCs w:val="32"/>
        </w:rPr>
      </w:pPr>
      <w:bookmarkStart w:id="4" w:name="_Toc11027"/>
      <w:bookmarkStart w:id="5" w:name="_Toc14694"/>
    </w:p>
    <w:p>
      <w:pPr>
        <w:pStyle w:val="39"/>
        <w:ind w:firstLine="640" w:firstLineChars="200"/>
        <w:rPr>
          <w:rFonts w:ascii="Times New Roman" w:hAnsi="Times New Roman" w:eastAsia="仿宋_GB2312"/>
          <w:b w:val="0"/>
          <w:szCs w:val="32"/>
        </w:rPr>
      </w:pPr>
      <w:r>
        <w:rPr>
          <w:rFonts w:ascii="Times New Roman" w:hAnsi="Times New Roman" w:eastAsia="仿宋_GB2312"/>
          <w:b w:val="0"/>
          <w:szCs w:val="32"/>
        </w:rPr>
        <w:t>为贯彻落实党中央全面实施预算绩效管理决策部署，根据《项目支出绩效评价管理办法》</w:t>
      </w:r>
      <w:r>
        <w:rPr>
          <w:rFonts w:hint="eastAsia" w:ascii="仿宋_GB2312" w:hAnsi="Times New Roman" w:eastAsia="仿宋_GB2312"/>
          <w:b w:val="0"/>
          <w:szCs w:val="32"/>
        </w:rPr>
        <w:t>（财预〔2020〕10</w:t>
      </w:r>
      <w:r>
        <w:rPr>
          <w:rFonts w:ascii="Times New Roman" w:hAnsi="Times New Roman" w:eastAsia="仿宋_GB2312"/>
          <w:b w:val="0"/>
          <w:szCs w:val="32"/>
        </w:rPr>
        <w:t>号）文件，为进一步监控项目执行情况及资金使用情况，受吐鲁番市财政局委托，新疆财讯睿智信息咨询有限公司承</w:t>
      </w:r>
      <w:r>
        <w:rPr>
          <w:rFonts w:hint="eastAsia" w:ascii="仿宋_GB2312" w:hAnsi="Times New Roman" w:eastAsia="仿宋_GB2312"/>
          <w:b w:val="0"/>
          <w:szCs w:val="32"/>
        </w:rPr>
        <w:t>担了2021年</w:t>
      </w:r>
      <w:r>
        <w:rPr>
          <w:rFonts w:hint="eastAsia" w:ascii="Times New Roman" w:hAnsi="Times New Roman" w:eastAsia="仿宋_GB2312"/>
          <w:b w:val="0"/>
          <w:szCs w:val="32"/>
        </w:rPr>
        <w:t>《吐鲁番市“十四五”综合交通运输发展规划》编制费项目</w:t>
      </w:r>
      <w:r>
        <w:rPr>
          <w:rFonts w:ascii="Times New Roman" w:hAnsi="Times New Roman" w:eastAsia="仿宋_GB2312"/>
          <w:b w:val="0"/>
          <w:szCs w:val="32"/>
        </w:rPr>
        <w:t>评价工作。评价组依据绩效评价的基本原理，结合本项目特点，经过前期调研、方案制定、访谈、数据收集与梳理等环节，撰写形成本绩效评价报告。</w:t>
      </w:r>
      <w:bookmarkEnd w:id="4"/>
      <w:bookmarkEnd w:id="5"/>
    </w:p>
    <w:p>
      <w:pPr>
        <w:pStyle w:val="39"/>
        <w:adjustRightInd/>
        <w:ind w:firstLine="640" w:firstLineChars="200"/>
        <w:outlineLvl w:val="0"/>
        <w:rPr>
          <w:rFonts w:ascii="Times New Roman" w:hAnsi="Times New Roman"/>
          <w:b w:val="0"/>
          <w:bCs/>
          <w:szCs w:val="32"/>
        </w:rPr>
      </w:pPr>
      <w:bookmarkStart w:id="6" w:name="_Toc111753732"/>
      <w:bookmarkStart w:id="7" w:name="_Toc30163832"/>
      <w:bookmarkStart w:id="8" w:name="_Toc111833598"/>
      <w:r>
        <w:rPr>
          <w:rFonts w:ascii="Times New Roman" w:hAnsi="Times New Roman"/>
          <w:b w:val="0"/>
          <w:bCs/>
          <w:szCs w:val="32"/>
        </w:rPr>
        <w:t>一、</w:t>
      </w:r>
      <w:bookmarkEnd w:id="2"/>
      <w:bookmarkEnd w:id="3"/>
      <w:bookmarkEnd w:id="6"/>
      <w:bookmarkEnd w:id="7"/>
      <w:r>
        <w:rPr>
          <w:rFonts w:hint="eastAsia" w:ascii="Times New Roman" w:hAnsi="Times New Roman"/>
          <w:b w:val="0"/>
          <w:bCs/>
          <w:szCs w:val="32"/>
        </w:rPr>
        <w:t>项目概况</w:t>
      </w:r>
      <w:bookmarkEnd w:id="8"/>
    </w:p>
    <w:p>
      <w:pPr>
        <w:widowControl/>
        <w:overflowPunct w:val="0"/>
        <w:autoSpaceDE w:val="0"/>
        <w:autoSpaceDN w:val="0"/>
        <w:adjustRightInd w:val="0"/>
        <w:spacing w:line="560" w:lineRule="exact"/>
        <w:ind w:firstLine="643" w:firstLineChars="200"/>
        <w:textAlignment w:val="baseline"/>
        <w:outlineLvl w:val="1"/>
        <w:rPr>
          <w:rFonts w:ascii="Times New Roman" w:hAnsi="Times New Roman" w:eastAsia="楷体"/>
          <w:b/>
          <w:color w:val="000000" w:themeColor="text1"/>
          <w:kern w:val="0"/>
          <w:sz w:val="32"/>
          <w:szCs w:val="32"/>
          <w14:textFill>
            <w14:solidFill>
              <w14:schemeClr w14:val="tx1"/>
            </w14:solidFill>
          </w14:textFill>
        </w:rPr>
      </w:pPr>
      <w:bookmarkStart w:id="9" w:name="_Toc12985"/>
      <w:bookmarkStart w:id="10" w:name="_Toc30163833"/>
      <w:bookmarkStart w:id="11" w:name="_Toc20073"/>
      <w:bookmarkStart w:id="12" w:name="_Toc111753733"/>
      <w:bookmarkStart w:id="13" w:name="_Toc111833599"/>
      <w:r>
        <w:rPr>
          <w:rFonts w:ascii="Times New Roman" w:hAnsi="Times New Roman" w:eastAsia="楷体"/>
          <w:b/>
          <w:color w:val="000000" w:themeColor="text1"/>
          <w:kern w:val="0"/>
          <w:sz w:val="32"/>
          <w:szCs w:val="32"/>
          <w14:textFill>
            <w14:solidFill>
              <w14:schemeClr w14:val="tx1"/>
            </w14:solidFill>
          </w14:textFill>
        </w:rPr>
        <w:t>（一）</w:t>
      </w:r>
      <w:bookmarkEnd w:id="9"/>
      <w:bookmarkEnd w:id="10"/>
      <w:bookmarkEnd w:id="11"/>
      <w:r>
        <w:rPr>
          <w:rFonts w:ascii="Times New Roman" w:hAnsi="Times New Roman" w:eastAsia="楷体"/>
          <w:b/>
          <w:color w:val="000000" w:themeColor="text1"/>
          <w:kern w:val="0"/>
          <w:sz w:val="32"/>
          <w:szCs w:val="32"/>
          <w14:textFill>
            <w14:solidFill>
              <w14:schemeClr w14:val="tx1"/>
            </w14:solidFill>
          </w14:textFill>
        </w:rPr>
        <w:t>项目</w:t>
      </w:r>
      <w:bookmarkEnd w:id="12"/>
      <w:r>
        <w:rPr>
          <w:rFonts w:hint="eastAsia" w:ascii="Times New Roman" w:hAnsi="Times New Roman" w:eastAsia="楷体"/>
          <w:b/>
          <w:color w:val="000000" w:themeColor="text1"/>
          <w:kern w:val="0"/>
          <w:sz w:val="32"/>
          <w:szCs w:val="32"/>
          <w14:textFill>
            <w14:solidFill>
              <w14:schemeClr w14:val="tx1"/>
            </w14:solidFill>
          </w14:textFill>
        </w:rPr>
        <w:t>背景</w:t>
      </w:r>
      <w:bookmarkEnd w:id="13"/>
    </w:p>
    <w:p>
      <w:pPr>
        <w:widowControl/>
        <w:overflowPunct w:val="0"/>
        <w:autoSpaceDE w:val="0"/>
        <w:autoSpaceDN w:val="0"/>
        <w:adjustRightInd w:val="0"/>
        <w:spacing w:line="560" w:lineRule="exact"/>
        <w:ind w:firstLine="964" w:firstLineChars="300"/>
        <w:textAlignment w:val="baseline"/>
        <w:rPr>
          <w:rFonts w:ascii="仿宋_GB2312" w:hAnsi="Times New Roman" w:eastAsia="仿宋_GB2312"/>
          <w:b/>
          <w:bCs/>
          <w:kern w:val="0"/>
          <w:sz w:val="32"/>
          <w:szCs w:val="32"/>
        </w:rPr>
      </w:pPr>
      <w:bookmarkStart w:id="14" w:name="_Toc111755365"/>
      <w:r>
        <w:rPr>
          <w:rFonts w:hint="eastAsia" w:ascii="仿宋_GB2312" w:hAnsi="Times New Roman" w:eastAsia="仿宋_GB2312"/>
          <w:b/>
          <w:bCs/>
          <w:kern w:val="0"/>
          <w:sz w:val="32"/>
          <w:szCs w:val="32"/>
        </w:rPr>
        <w:t>1.项目背景</w:t>
      </w:r>
      <w:bookmarkEnd w:id="14"/>
    </w:p>
    <w:p>
      <w:pPr>
        <w:widowControl/>
        <w:overflowPunct w:val="0"/>
        <w:autoSpaceDE w:val="0"/>
        <w:autoSpaceDN w:val="0"/>
        <w:adjustRightInd w:val="0"/>
        <w:spacing w:line="560" w:lineRule="exact"/>
        <w:ind w:firstLine="640" w:firstLineChars="200"/>
        <w:textAlignment w:val="baseline"/>
        <w:rPr>
          <w:rFonts w:ascii="仿宋_GB2312" w:hAnsi="Times New Roman" w:eastAsia="仿宋_GB2312"/>
          <w:kern w:val="0"/>
          <w:sz w:val="32"/>
          <w:szCs w:val="32"/>
        </w:rPr>
      </w:pPr>
      <w:bookmarkStart w:id="15" w:name="_Toc5522"/>
      <w:bookmarkStart w:id="16" w:name="_Toc5863"/>
      <w:bookmarkStart w:id="17" w:name="_Toc30163834"/>
      <w:r>
        <w:rPr>
          <w:rFonts w:hint="eastAsia" w:ascii="仿宋_GB2312" w:hAnsi="Times New Roman" w:eastAsia="仿宋_GB2312"/>
          <w:kern w:val="0"/>
          <w:sz w:val="32"/>
          <w:szCs w:val="32"/>
        </w:rPr>
        <w:t>“十四五”时期是我国全面建成小康社会、实现第一个百年奋斗目标之后，乘势而上开启全面建设社会主义现代化国家新征程，向第二个百年奋斗目标进军的第一个五年，也是新疆巩固社会稳定成果、推动高质量发展、迈向长治久安的关键时期。新疆吐鲁番市地处亚欧大陆腹地，总面积7万平方公里，辖高昌区、鄯善县、托克逊县，常住人口693988人。吐鲁番市是自治区首府乌鲁木齐的门户，为新丝绸之路和亚欧大陆桥重要的交通枢纽。兰新铁路、兰新高铁、南疆铁路与吐鲁番机场、G30线形成了“铁路、公路、航空”为一体的综合交通运输体系，具有明显的区位优势和便捷的交通优势。</w:t>
      </w:r>
    </w:p>
    <w:p>
      <w:pPr>
        <w:widowControl/>
        <w:overflowPunct w:val="0"/>
        <w:autoSpaceDE w:val="0"/>
        <w:autoSpaceDN w:val="0"/>
        <w:adjustRightInd w:val="0"/>
        <w:spacing w:line="560" w:lineRule="exact"/>
        <w:ind w:firstLine="640" w:firstLineChars="200"/>
        <w:textAlignment w:val="baseline"/>
        <w:rPr>
          <w:rFonts w:ascii="仿宋_GB2312" w:hAnsi="Times New Roman" w:eastAsia="仿宋_GB2312"/>
          <w:kern w:val="0"/>
          <w:sz w:val="32"/>
          <w:szCs w:val="32"/>
        </w:rPr>
      </w:pPr>
      <w:r>
        <w:rPr>
          <w:rFonts w:hint="eastAsia" w:ascii="仿宋_GB2312" w:hAnsi="Times New Roman" w:eastAsia="仿宋_GB2312"/>
          <w:kern w:val="0"/>
          <w:sz w:val="32"/>
          <w:szCs w:val="32"/>
        </w:rPr>
        <w:t>在准确评判“十三五”全市交通运输领域交通建设发展经验和不足的基础上，对接国家、自治区和吐鲁番市“十四五”时期国民经济和社会发展规划和2035年目标纲要等相关规划，科学地制定《吐鲁番市“十四五”综合交通发展规划》。《吐鲁番市“十四五”综合交通发展规划》是吐鲁番市“十四五”国民经济和社会发展规划和2035年目标纲要的重要组成部分。对落实交通强国战略，加快完善安全、便捷、高效、绿色、经济的现代综合交通运输体系，推进吐鲁番市交通建设的可持续和高质量发展，服务区域经济社会发展具有重要意义。2021年2月，吐鲁番市交通运输局委托北京华协交通咨询公司负责编制《吐鲁番市“十四五”综合交通运输发展规划》，合同金额120万元。</w:t>
      </w:r>
    </w:p>
    <w:p>
      <w:pPr>
        <w:widowControl/>
        <w:overflowPunct w:val="0"/>
        <w:autoSpaceDE w:val="0"/>
        <w:autoSpaceDN w:val="0"/>
        <w:adjustRightInd w:val="0"/>
        <w:spacing w:line="560" w:lineRule="exact"/>
        <w:ind w:firstLine="643" w:firstLineChars="200"/>
        <w:textAlignment w:val="baseline"/>
        <w:outlineLvl w:val="1"/>
        <w:rPr>
          <w:rFonts w:ascii="楷体" w:hAnsi="楷体" w:eastAsia="楷体"/>
          <w:b/>
          <w:kern w:val="0"/>
          <w:sz w:val="32"/>
          <w:szCs w:val="32"/>
        </w:rPr>
      </w:pPr>
      <w:bookmarkStart w:id="18" w:name="_Toc111833600"/>
      <w:r>
        <w:rPr>
          <w:rFonts w:hint="eastAsia" w:ascii="楷体" w:hAnsi="楷体" w:eastAsia="楷体"/>
          <w:b/>
          <w:kern w:val="0"/>
          <w:sz w:val="32"/>
          <w:szCs w:val="32"/>
        </w:rPr>
        <w:t>（二）</w:t>
      </w:r>
      <w:r>
        <w:rPr>
          <w:rFonts w:ascii="楷体" w:hAnsi="楷体" w:eastAsia="楷体"/>
          <w:b/>
          <w:kern w:val="0"/>
          <w:sz w:val="32"/>
          <w:szCs w:val="32"/>
        </w:rPr>
        <w:t>项目</w:t>
      </w:r>
      <w:bookmarkEnd w:id="15"/>
      <w:r>
        <w:rPr>
          <w:rFonts w:ascii="楷体" w:hAnsi="楷体" w:eastAsia="楷体"/>
          <w:b/>
          <w:kern w:val="0"/>
          <w:sz w:val="32"/>
          <w:szCs w:val="32"/>
        </w:rPr>
        <w:t>内容及规模</w:t>
      </w:r>
      <w:bookmarkEnd w:id="16"/>
      <w:bookmarkEnd w:id="17"/>
      <w:bookmarkEnd w:id="18"/>
    </w:p>
    <w:p>
      <w:pPr>
        <w:spacing w:line="560" w:lineRule="exact"/>
        <w:ind w:firstLine="643" w:firstLineChars="200"/>
        <w:jc w:val="left"/>
        <w:rPr>
          <w:rFonts w:ascii="仿宋_GB2312" w:eastAsia="仿宋_GB2312"/>
          <w:color w:val="000000"/>
          <w:sz w:val="32"/>
          <w:szCs w:val="32"/>
          <w:shd w:val="clear" w:color="auto" w:fill="FFFFFF"/>
        </w:rPr>
      </w:pPr>
      <w:bookmarkStart w:id="19" w:name="_Toc17700"/>
      <w:bookmarkStart w:id="20" w:name="_Toc17405"/>
      <w:bookmarkStart w:id="21" w:name="_Toc2879"/>
      <w:r>
        <w:rPr>
          <w:rFonts w:hint="eastAsia" w:ascii="仿宋_GB2312" w:hAnsi="Times New Roman" w:eastAsia="仿宋_GB2312"/>
          <w:b/>
          <w:bCs/>
          <w:kern w:val="0"/>
          <w:sz w:val="32"/>
          <w:szCs w:val="32"/>
        </w:rPr>
        <w:t>1.项目内容</w:t>
      </w:r>
    </w:p>
    <w:p>
      <w:pPr>
        <w:spacing w:line="560" w:lineRule="exact"/>
        <w:ind w:firstLine="640" w:firstLineChars="200"/>
        <w:jc w:val="left"/>
        <w:rPr>
          <w:rFonts w:ascii="仿宋_GB2312" w:hAnsi="Times New Roman" w:eastAsia="仿宋_GB2312"/>
          <w:kern w:val="0"/>
          <w:sz w:val="32"/>
          <w:szCs w:val="32"/>
        </w:rPr>
      </w:pPr>
      <w:r>
        <w:rPr>
          <w:rFonts w:hint="eastAsia" w:ascii="仿宋_GB2312" w:eastAsia="仿宋_GB2312"/>
          <w:color w:val="000000"/>
          <w:sz w:val="32"/>
          <w:szCs w:val="32"/>
          <w:shd w:val="clear" w:color="auto" w:fill="FFFFFF"/>
        </w:rPr>
        <w:t>2021年2月，《吐鲁番市“十四五”综合交通运输发展规划》编制工作正式启动。制定了</w:t>
      </w:r>
      <w:r>
        <w:rPr>
          <w:rFonts w:hint="eastAsia" w:ascii="Times New Roman" w:hAnsi="Times New Roman" w:eastAsia="仿宋_GB2312"/>
          <w:kern w:val="0"/>
          <w:sz w:val="32"/>
          <w:szCs w:val="32"/>
          <w:lang w:bidi="ar"/>
        </w:rPr>
        <w:t>《规划》</w:t>
      </w:r>
      <w:r>
        <w:rPr>
          <w:rFonts w:hint="eastAsia" w:ascii="仿宋_GB2312" w:eastAsia="仿宋_GB2312"/>
          <w:color w:val="000000"/>
          <w:sz w:val="32"/>
          <w:szCs w:val="32"/>
          <w:shd w:val="clear" w:color="auto" w:fill="FFFFFF"/>
        </w:rPr>
        <w:t>编制工作计划和工作大纲。9月第三轮征求市直属相关部门、兵团第十二师二二一团的意见，并根据国务院、交通运输部和自治区的有关文件精神，结合一区两县对项目的调整要求，对报告做进一步补充完善。11月9日，两次修改完善，2</w:t>
      </w:r>
      <w:r>
        <w:rPr>
          <w:rFonts w:ascii="仿宋_GB2312" w:eastAsia="仿宋_GB2312"/>
          <w:color w:val="000000"/>
          <w:sz w:val="32"/>
          <w:szCs w:val="32"/>
          <w:shd w:val="clear" w:color="auto" w:fill="FFFFFF"/>
        </w:rPr>
        <w:t>022</w:t>
      </w:r>
      <w:r>
        <w:rPr>
          <w:rFonts w:hint="eastAsia" w:ascii="仿宋_GB2312" w:eastAsia="仿宋_GB2312"/>
          <w:color w:val="000000"/>
          <w:sz w:val="32"/>
          <w:szCs w:val="32"/>
          <w:shd w:val="clear" w:color="auto" w:fill="FFFFFF"/>
        </w:rPr>
        <w:t>年5月形成终稿。</w:t>
      </w:r>
      <w:r>
        <w:rPr>
          <w:rFonts w:hint="eastAsia" w:ascii="仿宋_GB2312" w:hAnsi="Times New Roman" w:eastAsia="仿宋_GB2312"/>
          <w:kern w:val="0"/>
          <w:sz w:val="32"/>
          <w:szCs w:val="32"/>
        </w:rPr>
        <w:t xml:space="preserve">该《规划》的编制，为构建安全、便捷、高效、绿色、经济的现代化综合交通体系奠定基础，为推动吐鲁番高质量发展、迈向长治久安提供有效保障。 </w:t>
      </w:r>
    </w:p>
    <w:p>
      <w:pPr>
        <w:widowControl/>
        <w:overflowPunct w:val="0"/>
        <w:autoSpaceDE w:val="0"/>
        <w:autoSpaceDN w:val="0"/>
        <w:adjustRightInd w:val="0"/>
        <w:spacing w:line="560" w:lineRule="exact"/>
        <w:ind w:firstLine="643" w:firstLineChars="200"/>
        <w:textAlignment w:val="baseline"/>
        <w:rPr>
          <w:rFonts w:ascii="Times New Roman" w:hAnsi="Times New Roman" w:eastAsia="仿宋_GB2312"/>
          <w:b/>
          <w:bCs/>
          <w:kern w:val="0"/>
          <w:sz w:val="32"/>
          <w:szCs w:val="32"/>
        </w:rPr>
      </w:pPr>
      <w:r>
        <w:rPr>
          <w:rFonts w:ascii="Times New Roman" w:hAnsi="Times New Roman" w:eastAsia="仿宋_GB2312"/>
          <w:b/>
          <w:bCs/>
          <w:kern w:val="0"/>
          <w:sz w:val="32"/>
          <w:szCs w:val="32"/>
        </w:rPr>
        <w:t>2</w:t>
      </w:r>
      <w:r>
        <w:rPr>
          <w:rFonts w:hint="eastAsia" w:ascii="Times New Roman" w:hAnsi="Times New Roman" w:eastAsia="仿宋_GB2312"/>
          <w:b/>
          <w:bCs/>
          <w:kern w:val="0"/>
          <w:sz w:val="32"/>
          <w:szCs w:val="32"/>
        </w:rPr>
        <w:t>.</w:t>
      </w:r>
      <w:r>
        <w:rPr>
          <w:rFonts w:ascii="Times New Roman" w:hAnsi="Times New Roman" w:eastAsia="仿宋_GB2312"/>
          <w:b/>
          <w:bCs/>
          <w:kern w:val="0"/>
          <w:sz w:val="32"/>
          <w:szCs w:val="32"/>
        </w:rPr>
        <w:t>项目规模及范围</w:t>
      </w:r>
    </w:p>
    <w:p>
      <w:pPr>
        <w:pStyle w:val="79"/>
        <w:spacing w:line="560" w:lineRule="exact"/>
        <w:ind w:firstLine="640"/>
        <w:rPr>
          <w:rFonts w:ascii="仿宋_GB2312" w:hAnsi="Times New Roman" w:eastAsia="仿宋_GB2312"/>
          <w:kern w:val="0"/>
          <w:sz w:val="32"/>
          <w:szCs w:val="32"/>
        </w:rPr>
      </w:pPr>
      <w:r>
        <w:rPr>
          <w:rFonts w:ascii="仿宋_GB2312" w:hAnsi="Times New Roman" w:eastAsia="仿宋_GB2312"/>
          <w:kern w:val="0"/>
          <w:sz w:val="32"/>
          <w:szCs w:val="32"/>
        </w:rPr>
        <w:t>2021年</w:t>
      </w:r>
      <w:r>
        <w:rPr>
          <w:rFonts w:hint="eastAsia" w:ascii="仿宋_GB2312" w:hAnsi="Times New Roman" w:eastAsia="仿宋_GB2312"/>
          <w:kern w:val="0"/>
          <w:sz w:val="32"/>
          <w:szCs w:val="32"/>
        </w:rPr>
        <w:t>《吐鲁番市“十四五”综合交通运输发展规划》编制费项目</w:t>
      </w:r>
      <w:r>
        <w:rPr>
          <w:rFonts w:ascii="仿宋_GB2312" w:hAnsi="Times New Roman" w:eastAsia="仿宋_GB2312"/>
          <w:kern w:val="0"/>
          <w:sz w:val="32"/>
          <w:szCs w:val="32"/>
        </w:rPr>
        <w:t>主</w:t>
      </w:r>
      <w:r>
        <w:rPr>
          <w:rFonts w:hint="eastAsia" w:ascii="仿宋_GB2312" w:hAnsi="Times New Roman" w:eastAsia="仿宋_GB2312"/>
          <w:kern w:val="0"/>
          <w:sz w:val="32"/>
          <w:szCs w:val="32"/>
        </w:rPr>
        <w:t>要规模包括：吐鲁番市全境包含高昌区、鄯善县、托克逊县。范围包括：铁路、公路、民航、管道、邮政、公共交通、出租车、运输装备、智慧、平安、绿色、物流、运输服务、行业治理等。</w:t>
      </w:r>
    </w:p>
    <w:p>
      <w:pPr>
        <w:widowControl/>
        <w:overflowPunct w:val="0"/>
        <w:autoSpaceDE w:val="0"/>
        <w:autoSpaceDN w:val="0"/>
        <w:adjustRightInd w:val="0"/>
        <w:spacing w:line="560" w:lineRule="exact"/>
        <w:ind w:firstLine="643" w:firstLineChars="200"/>
        <w:textAlignment w:val="baseline"/>
        <w:rPr>
          <w:rFonts w:ascii="Times New Roman" w:hAnsi="Times New Roman" w:eastAsia="仿宋_GB2312"/>
          <w:b/>
          <w:bCs/>
          <w:kern w:val="0"/>
          <w:sz w:val="32"/>
          <w:szCs w:val="32"/>
        </w:rPr>
      </w:pPr>
      <w:r>
        <w:rPr>
          <w:rFonts w:ascii="Times New Roman" w:hAnsi="Times New Roman" w:eastAsia="仿宋_GB2312"/>
          <w:b/>
          <w:bCs/>
          <w:kern w:val="0"/>
          <w:sz w:val="32"/>
          <w:szCs w:val="32"/>
        </w:rPr>
        <w:t>3</w:t>
      </w:r>
      <w:r>
        <w:rPr>
          <w:rFonts w:hint="eastAsia" w:ascii="Times New Roman" w:hAnsi="Times New Roman" w:eastAsia="仿宋_GB2312"/>
          <w:b/>
          <w:bCs/>
          <w:kern w:val="0"/>
          <w:sz w:val="32"/>
          <w:szCs w:val="32"/>
        </w:rPr>
        <w:t>.</w:t>
      </w:r>
      <w:r>
        <w:rPr>
          <w:rFonts w:ascii="Times New Roman" w:hAnsi="Times New Roman" w:eastAsia="仿宋_GB2312"/>
          <w:b/>
          <w:bCs/>
          <w:kern w:val="0"/>
          <w:sz w:val="32"/>
          <w:szCs w:val="32"/>
        </w:rPr>
        <w:t>评价时段</w:t>
      </w:r>
    </w:p>
    <w:p>
      <w:pPr>
        <w:spacing w:line="560" w:lineRule="exact"/>
        <w:ind w:firstLine="640" w:firstLineChars="200"/>
        <w:rPr>
          <w:rFonts w:ascii="Times New Roman" w:hAnsi="Times New Roman" w:eastAsia="仿宋_GB2312"/>
          <w:kern w:val="0"/>
          <w:sz w:val="28"/>
          <w:szCs w:val="28"/>
        </w:rPr>
      </w:pPr>
      <w:bookmarkStart w:id="22" w:name="_Toc26519"/>
      <w:bookmarkStart w:id="23" w:name="_Toc30163835"/>
      <w:r>
        <w:rPr>
          <w:rFonts w:ascii="Times New Roman" w:hAnsi="Times New Roman" w:eastAsia="仿宋_GB2312"/>
          <w:kern w:val="0"/>
          <w:sz w:val="32"/>
          <w:szCs w:val="32"/>
        </w:rPr>
        <w:t>本专项资金的评价时段为2021年1月1日至2021年12月31日</w:t>
      </w:r>
      <w:r>
        <w:rPr>
          <w:rFonts w:ascii="Times New Roman" w:hAnsi="Times New Roman" w:eastAsia="仿宋_GB2312"/>
          <w:kern w:val="0"/>
          <w:sz w:val="28"/>
          <w:szCs w:val="28"/>
        </w:rPr>
        <w:t>。</w:t>
      </w:r>
      <w:bookmarkEnd w:id="22"/>
    </w:p>
    <w:p>
      <w:pPr>
        <w:widowControl/>
        <w:overflowPunct w:val="0"/>
        <w:autoSpaceDE w:val="0"/>
        <w:autoSpaceDN w:val="0"/>
        <w:adjustRightInd w:val="0"/>
        <w:spacing w:line="560" w:lineRule="exact"/>
        <w:ind w:firstLine="643" w:firstLineChars="200"/>
        <w:textAlignment w:val="baseline"/>
        <w:outlineLvl w:val="1"/>
        <w:rPr>
          <w:rFonts w:ascii="楷体" w:hAnsi="楷体" w:eastAsia="楷体"/>
          <w:b/>
          <w:kern w:val="0"/>
          <w:sz w:val="32"/>
          <w:szCs w:val="32"/>
        </w:rPr>
      </w:pPr>
      <w:bookmarkStart w:id="24" w:name="_Toc111833601"/>
      <w:r>
        <w:rPr>
          <w:rFonts w:hint="eastAsia" w:ascii="楷体" w:hAnsi="楷体" w:eastAsia="楷体"/>
          <w:b/>
          <w:kern w:val="0"/>
          <w:sz w:val="32"/>
          <w:szCs w:val="32"/>
        </w:rPr>
        <w:t>（三）</w:t>
      </w:r>
      <w:r>
        <w:rPr>
          <w:rFonts w:ascii="楷体" w:hAnsi="楷体" w:eastAsia="楷体"/>
          <w:b/>
          <w:kern w:val="0"/>
          <w:sz w:val="32"/>
          <w:szCs w:val="32"/>
        </w:rPr>
        <w:t>资金来源及使用情况</w:t>
      </w:r>
      <w:bookmarkEnd w:id="23"/>
      <w:bookmarkEnd w:id="24"/>
    </w:p>
    <w:p>
      <w:pPr>
        <w:pStyle w:val="85"/>
        <w:ind w:firstLine="640"/>
        <w:outlineLvl w:val="9"/>
        <w:rPr>
          <w:rFonts w:ascii="仿宋_GB2312" w:eastAsia="仿宋_GB2312"/>
          <w:b w:val="0"/>
          <w:bCs/>
          <w:lang w:bidi="ar"/>
        </w:rPr>
      </w:pPr>
      <w:bookmarkStart w:id="25" w:name="_Toc24892"/>
      <w:bookmarkStart w:id="26" w:name="_Toc4854"/>
      <w:bookmarkStart w:id="27" w:name="_Toc30163836"/>
      <w:r>
        <w:rPr>
          <w:rFonts w:hint="eastAsia" w:ascii="仿宋_GB2312" w:eastAsia="仿宋_GB2312"/>
          <w:b w:val="0"/>
          <w:bCs/>
          <w:lang w:bidi="ar"/>
        </w:rPr>
        <w:t>根据</w:t>
      </w:r>
      <w:r>
        <w:rPr>
          <w:rFonts w:hint="eastAsia" w:ascii="仿宋_GB2312" w:hAnsi="仿宋" w:eastAsia="仿宋_GB2312" w:cs="仿宋"/>
          <w:b w:val="0"/>
          <w:bCs/>
        </w:rPr>
        <w:t>吐鲁番市交通运输局</w:t>
      </w:r>
      <w:r>
        <w:rPr>
          <w:rFonts w:hint="eastAsia" w:ascii="仿宋_GB2312" w:eastAsia="仿宋_GB2312"/>
          <w:b w:val="0"/>
          <w:bCs/>
          <w:lang w:bidi="ar"/>
        </w:rPr>
        <w:t>《关于申请〈吐鲁番市综合交通“十四五”发展规划〉编制经费的报告》（吐交发</w:t>
      </w:r>
      <w:r>
        <w:rPr>
          <w:rFonts w:ascii="仿宋_GB2312" w:eastAsia="仿宋_GB2312"/>
          <w:b w:val="0"/>
          <w:bCs/>
          <w:lang w:bidi="ar"/>
        </w:rPr>
        <w:t>[2021]15</w:t>
      </w:r>
      <w:r>
        <w:rPr>
          <w:rFonts w:hint="eastAsia" w:ascii="仿宋_GB2312" w:eastAsia="仿宋_GB2312"/>
          <w:b w:val="0"/>
          <w:bCs/>
          <w:lang w:bidi="ar"/>
        </w:rPr>
        <w:t>号），吐鲁番财政局安排《吐鲁番市综合交通“十四五”发展规划》编制经费项目经费120万元，资金来源为市本级财政拨款资金，</w:t>
      </w:r>
      <w:r>
        <w:rPr>
          <w:rFonts w:ascii="仿宋_GB2312" w:eastAsia="仿宋_GB2312"/>
          <w:b w:val="0"/>
          <w:bCs/>
          <w:lang w:bidi="ar"/>
        </w:rPr>
        <w:t>截止2021年12月</w:t>
      </w:r>
      <w:r>
        <w:rPr>
          <w:rFonts w:hint="eastAsia" w:ascii="仿宋_GB2312" w:eastAsia="仿宋_GB2312"/>
          <w:b w:val="0"/>
          <w:bCs/>
          <w:lang w:bidi="ar"/>
        </w:rPr>
        <w:t>31日，</w:t>
      </w:r>
      <w:r>
        <w:rPr>
          <w:rFonts w:ascii="仿宋_GB2312" w:eastAsia="仿宋_GB2312"/>
          <w:b w:val="0"/>
          <w:bCs/>
          <w:lang w:bidi="ar"/>
        </w:rPr>
        <w:t>实际支出120万元，预算执行率为100%</w:t>
      </w:r>
      <w:r>
        <w:rPr>
          <w:rFonts w:hint="eastAsia" w:ascii="仿宋_GB2312" w:eastAsia="仿宋_GB2312"/>
          <w:b w:val="0"/>
          <w:bCs/>
          <w:lang w:bidi="ar"/>
        </w:rPr>
        <w:t>。</w:t>
      </w:r>
    </w:p>
    <w:p>
      <w:pPr>
        <w:pStyle w:val="85"/>
      </w:pPr>
      <w:bookmarkStart w:id="28" w:name="_Toc111833602"/>
      <w:r>
        <w:rPr>
          <w:rFonts w:hint="eastAsia"/>
        </w:rPr>
        <w:t>（四）</w:t>
      </w:r>
      <w:r>
        <w:t>项目组织与管理情况</w:t>
      </w:r>
      <w:bookmarkEnd w:id="25"/>
      <w:bookmarkEnd w:id="26"/>
      <w:bookmarkEnd w:id="27"/>
      <w:bookmarkEnd w:id="28"/>
    </w:p>
    <w:p>
      <w:pPr>
        <w:widowControl/>
        <w:overflowPunct w:val="0"/>
        <w:autoSpaceDE w:val="0"/>
        <w:autoSpaceDN w:val="0"/>
        <w:adjustRightInd w:val="0"/>
        <w:spacing w:line="560" w:lineRule="exact"/>
        <w:ind w:firstLine="643" w:firstLineChars="200"/>
        <w:textAlignment w:val="baseline"/>
        <w:rPr>
          <w:rFonts w:ascii="Times New Roman" w:hAnsi="Times New Roman" w:eastAsia="仿宋_GB2312"/>
          <w:b/>
          <w:bCs/>
          <w:kern w:val="0"/>
          <w:sz w:val="32"/>
          <w:szCs w:val="32"/>
        </w:rPr>
      </w:pPr>
      <w:r>
        <w:rPr>
          <w:rFonts w:ascii="Times New Roman" w:hAnsi="Times New Roman" w:eastAsia="仿宋_GB2312"/>
          <w:b/>
          <w:bCs/>
          <w:kern w:val="0"/>
          <w:sz w:val="32"/>
          <w:szCs w:val="32"/>
        </w:rPr>
        <w:t>1</w:t>
      </w:r>
      <w:r>
        <w:rPr>
          <w:rFonts w:hint="eastAsia" w:ascii="Times New Roman" w:hAnsi="Times New Roman" w:eastAsia="仿宋_GB2312"/>
          <w:b/>
          <w:bCs/>
          <w:kern w:val="0"/>
          <w:sz w:val="32"/>
          <w:szCs w:val="32"/>
        </w:rPr>
        <w:t>.</w:t>
      </w:r>
      <w:r>
        <w:rPr>
          <w:rFonts w:ascii="Times New Roman" w:hAnsi="Times New Roman" w:eastAsia="仿宋_GB2312"/>
          <w:b/>
          <w:bCs/>
          <w:kern w:val="0"/>
          <w:sz w:val="32"/>
          <w:szCs w:val="32"/>
        </w:rPr>
        <w:t>项目管理情况</w:t>
      </w:r>
      <w:bookmarkStart w:id="29" w:name="_Toc57570226"/>
      <w:bookmarkStart w:id="30" w:name="_Toc1795"/>
    </w:p>
    <w:p>
      <w:pPr>
        <w:widowControl/>
        <w:overflowPunct w:val="0"/>
        <w:autoSpaceDE w:val="0"/>
        <w:autoSpaceDN w:val="0"/>
        <w:adjustRightInd w:val="0"/>
        <w:spacing w:line="560" w:lineRule="exact"/>
        <w:ind w:firstLine="640" w:firstLineChars="200"/>
        <w:textAlignment w:val="baseline"/>
        <w:rPr>
          <w:rFonts w:ascii="Times New Roman" w:hAnsi="Times New Roman" w:eastAsia="仿宋_GB2312"/>
          <w:b/>
          <w:bCs/>
          <w:kern w:val="0"/>
          <w:sz w:val="32"/>
          <w:szCs w:val="32"/>
        </w:rPr>
      </w:pPr>
      <w:r>
        <w:rPr>
          <w:rFonts w:ascii="Times New Roman" w:hAnsi="Times New Roman" w:eastAsia="仿宋_GB2312"/>
          <w:kern w:val="0"/>
          <w:sz w:val="32"/>
          <w:szCs w:val="32"/>
        </w:rPr>
        <w:t>本项目资金拨付部门为吐鲁番市财政局，项目监管单位为吐鲁番市交通运输局，项目具体实施单位为</w:t>
      </w:r>
      <w:r>
        <w:rPr>
          <w:rFonts w:hint="eastAsia" w:ascii="Times New Roman" w:hAnsi="Times New Roman" w:eastAsia="仿宋_GB2312"/>
          <w:kern w:val="0"/>
          <w:sz w:val="32"/>
          <w:szCs w:val="32"/>
        </w:rPr>
        <w:t>北京华协交通咨询公司</w:t>
      </w:r>
      <w:r>
        <w:rPr>
          <w:rFonts w:ascii="Times New Roman" w:hAnsi="Times New Roman" w:eastAsia="仿宋_GB2312"/>
          <w:kern w:val="0"/>
          <w:sz w:val="32"/>
          <w:szCs w:val="32"/>
        </w:rPr>
        <w:t>。在项目实施过程中，</w:t>
      </w:r>
      <w:bookmarkEnd w:id="29"/>
      <w:r>
        <w:rPr>
          <w:rFonts w:ascii="Times New Roman" w:hAnsi="Times New Roman" w:eastAsia="仿宋_GB2312"/>
          <w:kern w:val="0"/>
          <w:sz w:val="32"/>
          <w:szCs w:val="32"/>
        </w:rPr>
        <w:t>具体职责如下：</w:t>
      </w:r>
    </w:p>
    <w:p>
      <w:pPr>
        <w:widowControl/>
        <w:overflowPunct w:val="0"/>
        <w:autoSpaceDE w:val="0"/>
        <w:autoSpaceDN w:val="0"/>
        <w:adjustRightInd w:val="0"/>
        <w:spacing w:line="560" w:lineRule="exact"/>
        <w:ind w:firstLine="643" w:firstLineChars="200"/>
        <w:textAlignment w:val="baseline"/>
        <w:rPr>
          <w:rFonts w:ascii="Times New Roman" w:hAnsi="Times New Roman" w:eastAsia="仿宋_GB2312"/>
          <w:kern w:val="0"/>
          <w:sz w:val="32"/>
          <w:szCs w:val="32"/>
        </w:rPr>
      </w:pPr>
      <w:bookmarkStart w:id="31" w:name="_Toc25110"/>
      <w:bookmarkStart w:id="32" w:name="_Toc57570227"/>
      <w:r>
        <w:rPr>
          <w:rFonts w:ascii="Times New Roman" w:hAnsi="Times New Roman" w:eastAsia="仿宋_GB2312"/>
          <w:b/>
          <w:bCs/>
          <w:kern w:val="0"/>
          <w:sz w:val="32"/>
          <w:szCs w:val="32"/>
        </w:rPr>
        <w:t>吐鲁番市财政局：</w:t>
      </w:r>
      <w:r>
        <w:rPr>
          <w:rFonts w:ascii="Times New Roman" w:hAnsi="Times New Roman" w:eastAsia="仿宋_GB2312"/>
          <w:kern w:val="0"/>
          <w:sz w:val="32"/>
          <w:szCs w:val="32"/>
        </w:rPr>
        <w:t>负责审核专项资金的年度预算及项目资金拨付管理，协同部门制订和完善专项补助资金管理办法、项目申报指南，参与项目财务事项评审，根据专项资金预算和项目实施进度及时拨付资金，并对专项资金使用情况进行绩效考核和监督检查。</w:t>
      </w:r>
      <w:bookmarkEnd w:id="31"/>
      <w:bookmarkEnd w:id="32"/>
    </w:p>
    <w:p>
      <w:pPr>
        <w:widowControl/>
        <w:overflowPunct w:val="0"/>
        <w:autoSpaceDE w:val="0"/>
        <w:autoSpaceDN w:val="0"/>
        <w:adjustRightInd w:val="0"/>
        <w:spacing w:line="560" w:lineRule="exact"/>
        <w:ind w:firstLine="643" w:firstLineChars="200"/>
        <w:textAlignment w:val="baseline"/>
        <w:rPr>
          <w:rFonts w:ascii="Times New Roman" w:hAnsi="Times New Roman" w:eastAsia="仿宋_GB2312"/>
          <w:kern w:val="0"/>
          <w:sz w:val="32"/>
          <w:szCs w:val="32"/>
        </w:rPr>
      </w:pPr>
      <w:bookmarkStart w:id="33" w:name="_Toc983"/>
      <w:bookmarkStart w:id="34" w:name="_Toc57570228"/>
      <w:r>
        <w:rPr>
          <w:rFonts w:ascii="Times New Roman" w:hAnsi="Times New Roman" w:eastAsia="仿宋_GB2312"/>
          <w:b/>
          <w:bCs/>
          <w:kern w:val="0"/>
          <w:sz w:val="32"/>
          <w:szCs w:val="32"/>
        </w:rPr>
        <w:t>吐鲁番市交通运输局</w:t>
      </w:r>
      <w:r>
        <w:rPr>
          <w:rFonts w:ascii="Times New Roman" w:hAnsi="Times New Roman" w:eastAsia="仿宋_GB2312"/>
          <w:kern w:val="0"/>
          <w:sz w:val="32"/>
          <w:szCs w:val="32"/>
        </w:rPr>
        <w:t>：组织编制资金绩效目标和年度预算；</w:t>
      </w:r>
      <w:bookmarkEnd w:id="33"/>
      <w:bookmarkEnd w:id="34"/>
      <w:r>
        <w:rPr>
          <w:rFonts w:ascii="Times New Roman" w:hAnsi="Times New Roman" w:eastAsia="仿宋_GB2312"/>
          <w:kern w:val="0"/>
          <w:sz w:val="32"/>
          <w:szCs w:val="32"/>
        </w:rPr>
        <w:t>组织</w:t>
      </w:r>
      <w:r>
        <w:rPr>
          <w:rFonts w:hint="eastAsia" w:ascii="Times New Roman" w:hAnsi="Times New Roman" w:eastAsia="仿宋_GB2312"/>
          <w:kern w:val="0"/>
          <w:sz w:val="32"/>
          <w:szCs w:val="32"/>
        </w:rPr>
        <w:t>2</w:t>
      </w:r>
      <w:r>
        <w:rPr>
          <w:rFonts w:ascii="Times New Roman" w:hAnsi="Times New Roman" w:eastAsia="仿宋_GB2312"/>
          <w:kern w:val="0"/>
          <w:sz w:val="32"/>
          <w:szCs w:val="32"/>
        </w:rPr>
        <w:t>021年</w:t>
      </w:r>
      <w:r>
        <w:rPr>
          <w:rFonts w:hint="eastAsia" w:ascii="Times New Roman" w:hAnsi="Times New Roman" w:eastAsia="仿宋_GB2312"/>
          <w:kern w:val="0"/>
          <w:sz w:val="32"/>
          <w:szCs w:val="32"/>
        </w:rPr>
        <w:t>《吐鲁番市“十四五”综合交通运输发展规划》编制费项目</w:t>
      </w:r>
      <w:r>
        <w:rPr>
          <w:rFonts w:ascii="Times New Roman" w:hAnsi="Times New Roman" w:eastAsia="仿宋_GB2312"/>
          <w:kern w:val="0"/>
          <w:sz w:val="32"/>
          <w:szCs w:val="32"/>
        </w:rPr>
        <w:t>的申报</w:t>
      </w:r>
      <w:r>
        <w:rPr>
          <w:rFonts w:hint="eastAsia" w:ascii="Times New Roman" w:hAnsi="Times New Roman" w:eastAsia="仿宋_GB2312"/>
          <w:kern w:val="0"/>
          <w:sz w:val="32"/>
          <w:szCs w:val="32"/>
        </w:rPr>
        <w:t>、验收，</w:t>
      </w:r>
      <w:r>
        <w:rPr>
          <w:rFonts w:hint="eastAsia" w:ascii="Times New Roman" w:hAnsi="Times New Roman" w:eastAsia="仿宋_GB2312"/>
          <w:kern w:val="0"/>
          <w:sz w:val="32"/>
          <w:szCs w:val="32"/>
          <w:lang w:bidi="ar"/>
        </w:rPr>
        <w:t>负责专项资金使用管理，具体制订项目资金管理办法和项目实施方案、预算绩效管理等管理制度，</w:t>
      </w:r>
      <w:r>
        <w:rPr>
          <w:rFonts w:hint="eastAsia" w:ascii="Times New Roman" w:hAnsi="Times New Roman" w:eastAsia="仿宋_GB2312"/>
          <w:kern w:val="0"/>
          <w:sz w:val="32"/>
          <w:szCs w:val="32"/>
        </w:rPr>
        <w:t>做好预算绩效评价工作，并完成项目档案整理等相关工作。</w:t>
      </w:r>
      <w:r>
        <w:rPr>
          <w:rFonts w:ascii="Times New Roman" w:hAnsi="Times New Roman" w:eastAsia="仿宋_GB2312"/>
          <w:kern w:val="0"/>
          <w:sz w:val="32"/>
          <w:szCs w:val="32"/>
        </w:rPr>
        <w:t xml:space="preserve"> </w:t>
      </w:r>
    </w:p>
    <w:p>
      <w:pPr>
        <w:pStyle w:val="12"/>
        <w:spacing w:before="0" w:after="0" w:line="560" w:lineRule="exact"/>
        <w:ind w:firstLine="643" w:firstLineChars="200"/>
        <w:jc w:val="both"/>
        <w:outlineLvl w:val="9"/>
      </w:pPr>
      <w:r>
        <w:rPr>
          <w:rFonts w:hint="eastAsia" w:ascii="Times New Roman" w:hAnsi="Times New Roman" w:eastAsia="仿宋_GB2312"/>
          <w:kern w:val="0"/>
        </w:rPr>
        <w:t>北京华协交通咨询公司：</w:t>
      </w:r>
      <w:r>
        <w:rPr>
          <w:rFonts w:hint="eastAsia" w:ascii="Times New Roman" w:hAnsi="Times New Roman" w:eastAsia="仿宋_GB2312"/>
          <w:b w:val="0"/>
          <w:bCs w:val="0"/>
          <w:kern w:val="0"/>
        </w:rPr>
        <w:t>负责项目具体实施；编制《吐鲁番市“十四五”综合交通运输发展规划》。</w:t>
      </w:r>
    </w:p>
    <w:p>
      <w:pPr>
        <w:widowControl/>
        <w:overflowPunct w:val="0"/>
        <w:autoSpaceDE w:val="0"/>
        <w:autoSpaceDN w:val="0"/>
        <w:adjustRightInd w:val="0"/>
        <w:spacing w:line="560" w:lineRule="exact"/>
        <w:ind w:firstLine="643" w:firstLineChars="200"/>
        <w:textAlignment w:val="baseline"/>
        <w:rPr>
          <w:rFonts w:ascii="Times New Roman" w:hAnsi="Times New Roman" w:eastAsia="仿宋_GB2312"/>
          <w:b/>
          <w:bCs/>
          <w:kern w:val="0"/>
          <w:sz w:val="32"/>
          <w:szCs w:val="32"/>
        </w:rPr>
      </w:pPr>
      <w:r>
        <w:rPr>
          <w:rFonts w:ascii="Times New Roman" w:hAnsi="Times New Roman" w:eastAsia="仿宋_GB2312"/>
          <w:b/>
          <w:bCs/>
          <w:kern w:val="0"/>
          <w:sz w:val="32"/>
          <w:szCs w:val="32"/>
        </w:rPr>
        <w:t>2</w:t>
      </w:r>
      <w:r>
        <w:rPr>
          <w:rFonts w:hint="eastAsia" w:ascii="Times New Roman" w:hAnsi="Times New Roman" w:eastAsia="仿宋_GB2312"/>
          <w:b/>
          <w:bCs/>
          <w:kern w:val="0"/>
          <w:sz w:val="32"/>
          <w:szCs w:val="32"/>
        </w:rPr>
        <w:t>.</w:t>
      </w:r>
      <w:r>
        <w:rPr>
          <w:rFonts w:ascii="Times New Roman" w:hAnsi="Times New Roman" w:eastAsia="仿宋_GB2312"/>
          <w:b/>
          <w:bCs/>
          <w:kern w:val="0"/>
          <w:sz w:val="32"/>
          <w:szCs w:val="32"/>
        </w:rPr>
        <w:t>资金管理情况</w:t>
      </w:r>
    </w:p>
    <w:p>
      <w:pPr>
        <w:widowControl/>
        <w:overflowPunct w:val="0"/>
        <w:autoSpaceDE w:val="0"/>
        <w:autoSpaceDN w:val="0"/>
        <w:adjustRightInd w:val="0"/>
        <w:spacing w:line="560" w:lineRule="exact"/>
        <w:ind w:firstLine="640" w:firstLineChars="200"/>
        <w:textAlignment w:val="baseline"/>
        <w:rPr>
          <w:rFonts w:ascii="Times New Roman" w:hAnsi="Times New Roman" w:eastAsia="仿宋_GB2312"/>
          <w:kern w:val="0"/>
          <w:sz w:val="32"/>
          <w:szCs w:val="32"/>
        </w:rPr>
      </w:pPr>
      <w:bookmarkStart w:id="35" w:name="_Toc57570231"/>
      <w:bookmarkStart w:id="36" w:name="_Toc24330"/>
      <w:bookmarkStart w:id="37" w:name="_Toc9610"/>
      <w:r>
        <w:rPr>
          <w:rFonts w:ascii="Times New Roman" w:hAnsi="Times New Roman" w:eastAsia="仿宋_GB2312"/>
          <w:kern w:val="0"/>
          <w:sz w:val="32"/>
          <w:szCs w:val="32"/>
        </w:rPr>
        <w:t>预算编制：</w:t>
      </w:r>
      <w:bookmarkEnd w:id="35"/>
      <w:bookmarkEnd w:id="36"/>
      <w:bookmarkStart w:id="38" w:name="_Toc57570232"/>
      <w:bookmarkStart w:id="39" w:name="_Toc4469"/>
      <w:r>
        <w:rPr>
          <w:rFonts w:ascii="Times New Roman" w:hAnsi="Times New Roman" w:eastAsia="仿宋_GB2312"/>
          <w:kern w:val="0"/>
          <w:sz w:val="32"/>
          <w:szCs w:val="32"/>
        </w:rPr>
        <w:t>此项目资金由吐鲁番市交通运输局进行预算申报及编制</w:t>
      </w:r>
      <w:r>
        <w:rPr>
          <w:rFonts w:hint="eastAsia" w:ascii="Times New Roman" w:hAnsi="Times New Roman" w:eastAsia="仿宋_GB2312"/>
          <w:kern w:val="0"/>
          <w:sz w:val="32"/>
          <w:szCs w:val="32"/>
        </w:rPr>
        <w:t>，并</w:t>
      </w:r>
      <w:r>
        <w:rPr>
          <w:rFonts w:ascii="Times New Roman" w:hAnsi="Times New Roman" w:eastAsia="仿宋_GB2312"/>
          <w:kern w:val="0"/>
          <w:sz w:val="32"/>
          <w:szCs w:val="32"/>
        </w:rPr>
        <w:t>对项目实施全过程跟踪监管。</w:t>
      </w:r>
    </w:p>
    <w:p>
      <w:pPr>
        <w:widowControl/>
        <w:overflowPunct w:val="0"/>
        <w:autoSpaceDE w:val="0"/>
        <w:autoSpaceDN w:val="0"/>
        <w:adjustRightInd w:val="0"/>
        <w:spacing w:line="560" w:lineRule="exact"/>
        <w:ind w:firstLine="640" w:firstLineChars="200"/>
        <w:textAlignment w:val="baseline"/>
        <w:rPr>
          <w:rFonts w:ascii="Times New Roman" w:hAnsi="Times New Roman" w:eastAsia="仿宋_GB2312"/>
          <w:kern w:val="0"/>
          <w:sz w:val="32"/>
          <w:szCs w:val="32"/>
        </w:rPr>
      </w:pPr>
      <w:r>
        <w:rPr>
          <w:rFonts w:ascii="Times New Roman" w:hAnsi="Times New Roman" w:eastAsia="仿宋_GB2312"/>
          <w:kern w:val="0"/>
          <w:sz w:val="32"/>
          <w:szCs w:val="32"/>
        </w:rPr>
        <w:t>资金拨付：</w:t>
      </w:r>
      <w:bookmarkEnd w:id="38"/>
      <w:bookmarkEnd w:id="39"/>
      <w:bookmarkStart w:id="40" w:name="_Toc30163837"/>
      <w:r>
        <w:rPr>
          <w:rFonts w:ascii="Times New Roman" w:hAnsi="Times New Roman" w:eastAsia="仿宋_GB2312"/>
          <w:kern w:val="0"/>
          <w:sz w:val="32"/>
          <w:szCs w:val="32"/>
        </w:rPr>
        <w:t>由吐鲁番市交通运输局</w:t>
      </w:r>
      <w:r>
        <w:rPr>
          <w:rFonts w:hint="eastAsia" w:ascii="Times New Roman" w:hAnsi="Times New Roman" w:eastAsia="仿宋_GB2312"/>
          <w:kern w:val="0"/>
          <w:sz w:val="32"/>
          <w:szCs w:val="32"/>
        </w:rPr>
        <w:t>按流程</w:t>
      </w:r>
      <w:r>
        <w:rPr>
          <w:rFonts w:ascii="Times New Roman" w:hAnsi="Times New Roman" w:eastAsia="仿宋_GB2312"/>
          <w:kern w:val="0"/>
          <w:sz w:val="32"/>
          <w:szCs w:val="32"/>
        </w:rPr>
        <w:t>支付</w:t>
      </w:r>
      <w:r>
        <w:rPr>
          <w:rFonts w:hint="eastAsia" w:ascii="Times New Roman" w:hAnsi="Times New Roman" w:eastAsia="仿宋_GB2312"/>
          <w:kern w:val="0"/>
          <w:sz w:val="32"/>
          <w:szCs w:val="32"/>
        </w:rPr>
        <w:t>给北京华协交通咨询公司</w:t>
      </w:r>
      <w:r>
        <w:rPr>
          <w:rFonts w:ascii="Times New Roman" w:hAnsi="Times New Roman" w:eastAsia="仿宋_GB2312"/>
          <w:kern w:val="0"/>
          <w:sz w:val="32"/>
          <w:szCs w:val="32"/>
        </w:rPr>
        <w:t>。</w:t>
      </w:r>
    </w:p>
    <w:p>
      <w:pPr>
        <w:widowControl/>
        <w:overflowPunct w:val="0"/>
        <w:autoSpaceDE w:val="0"/>
        <w:autoSpaceDN w:val="0"/>
        <w:adjustRightInd w:val="0"/>
        <w:spacing w:line="560" w:lineRule="exact"/>
        <w:ind w:firstLine="640" w:firstLineChars="200"/>
        <w:textAlignment w:val="baseline"/>
        <w:rPr>
          <w:rFonts w:ascii="Times New Roman" w:hAnsi="Times New Roman" w:eastAsia="仿宋_GB2312"/>
          <w:kern w:val="0"/>
          <w:sz w:val="32"/>
          <w:szCs w:val="32"/>
        </w:rPr>
      </w:pPr>
      <w:r>
        <w:rPr>
          <w:rFonts w:ascii="Times New Roman" w:hAnsi="Times New Roman" w:eastAsia="仿宋_GB2312"/>
          <w:kern w:val="0"/>
          <w:sz w:val="32"/>
          <w:szCs w:val="32"/>
        </w:rPr>
        <w:t>明确资金支出范围：根据项目支出范围，确定资金实际支出方向，确保专款专用。</w:t>
      </w:r>
    </w:p>
    <w:p>
      <w:pPr>
        <w:pStyle w:val="85"/>
      </w:pPr>
      <w:bookmarkStart w:id="41" w:name="_Toc111833603"/>
      <w:bookmarkStart w:id="42" w:name="_Toc111753734"/>
      <w:r>
        <w:t>（</w:t>
      </w:r>
      <w:r>
        <w:rPr>
          <w:rFonts w:hint="eastAsia"/>
        </w:rPr>
        <w:t>五</w:t>
      </w:r>
      <w:r>
        <w:t>）项目绩效目标</w:t>
      </w:r>
      <w:bookmarkEnd w:id="37"/>
      <w:bookmarkEnd w:id="40"/>
      <w:bookmarkEnd w:id="41"/>
      <w:bookmarkEnd w:id="42"/>
    </w:p>
    <w:p>
      <w:pPr>
        <w:widowControl/>
        <w:overflowPunct w:val="0"/>
        <w:autoSpaceDE w:val="0"/>
        <w:autoSpaceDN w:val="0"/>
        <w:adjustRightInd w:val="0"/>
        <w:spacing w:line="560" w:lineRule="exact"/>
        <w:ind w:firstLine="643" w:firstLineChars="200"/>
        <w:textAlignment w:val="baseline"/>
        <w:rPr>
          <w:rFonts w:ascii="Times New Roman" w:hAnsi="Times New Roman" w:eastAsia="仿宋_GB2312"/>
          <w:b/>
          <w:bCs/>
          <w:kern w:val="0"/>
          <w:sz w:val="32"/>
          <w:szCs w:val="32"/>
        </w:rPr>
      </w:pPr>
      <w:r>
        <w:rPr>
          <w:rFonts w:ascii="Times New Roman" w:hAnsi="Times New Roman" w:eastAsia="仿宋_GB2312"/>
          <w:b/>
          <w:bCs/>
          <w:kern w:val="0"/>
          <w:sz w:val="32"/>
          <w:szCs w:val="32"/>
        </w:rPr>
        <w:t>1</w:t>
      </w:r>
      <w:r>
        <w:rPr>
          <w:rFonts w:hint="eastAsia" w:ascii="Times New Roman" w:hAnsi="Times New Roman" w:eastAsia="仿宋_GB2312"/>
          <w:b/>
          <w:bCs/>
          <w:kern w:val="0"/>
          <w:sz w:val="32"/>
          <w:szCs w:val="32"/>
        </w:rPr>
        <w:t>.</w:t>
      </w:r>
      <w:r>
        <w:rPr>
          <w:rFonts w:ascii="Times New Roman" w:hAnsi="Times New Roman" w:eastAsia="仿宋_GB2312"/>
          <w:b/>
          <w:bCs/>
          <w:kern w:val="0"/>
          <w:sz w:val="32"/>
          <w:szCs w:val="32"/>
        </w:rPr>
        <w:t>总目标</w:t>
      </w:r>
    </w:p>
    <w:p>
      <w:pPr>
        <w:widowControl/>
        <w:overflowPunct w:val="0"/>
        <w:autoSpaceDE w:val="0"/>
        <w:autoSpaceDN w:val="0"/>
        <w:adjustRightInd w:val="0"/>
        <w:spacing w:line="560" w:lineRule="exact"/>
        <w:ind w:firstLine="640" w:firstLineChars="200"/>
        <w:textAlignment w:val="baseline"/>
        <w:rPr>
          <w:rFonts w:ascii="Times New Roman" w:hAnsi="Times New Roman" w:eastAsia="仿宋_GB2312"/>
          <w:kern w:val="0"/>
          <w:sz w:val="32"/>
          <w:szCs w:val="32"/>
        </w:rPr>
      </w:pPr>
      <w:r>
        <w:rPr>
          <w:rFonts w:hint="eastAsia" w:ascii="Times New Roman" w:hAnsi="Times New Roman" w:eastAsia="仿宋_GB2312"/>
          <w:kern w:val="0"/>
          <w:sz w:val="32"/>
          <w:szCs w:val="32"/>
        </w:rPr>
        <w:t>对“十四五”全市交通基础设施（公路、铁路、民航、邮政、管道）、运输服务、绿色、智慧、安全等方面进行规划研究，提出“十四五”吐鲁番市综合交通重点任务、建设项目、资金匡算等，并研究保障规划实施的政策措施。</w:t>
      </w:r>
    </w:p>
    <w:p>
      <w:pPr>
        <w:widowControl/>
        <w:overflowPunct w:val="0"/>
        <w:autoSpaceDE w:val="0"/>
        <w:autoSpaceDN w:val="0"/>
        <w:adjustRightInd w:val="0"/>
        <w:spacing w:line="560" w:lineRule="exact"/>
        <w:ind w:firstLine="643" w:firstLineChars="200"/>
        <w:textAlignment w:val="baseline"/>
        <w:rPr>
          <w:rFonts w:ascii="Times New Roman" w:hAnsi="Times New Roman" w:eastAsia="仿宋_GB2312"/>
          <w:b/>
          <w:bCs/>
          <w:kern w:val="0"/>
          <w:sz w:val="32"/>
          <w:szCs w:val="32"/>
        </w:rPr>
      </w:pPr>
      <w:r>
        <w:rPr>
          <w:rFonts w:ascii="Times New Roman" w:hAnsi="Times New Roman" w:eastAsia="仿宋_GB2312"/>
          <w:b/>
          <w:bCs/>
          <w:kern w:val="0"/>
          <w:sz w:val="32"/>
          <w:szCs w:val="32"/>
        </w:rPr>
        <w:t>2</w:t>
      </w:r>
      <w:r>
        <w:rPr>
          <w:rFonts w:hint="eastAsia" w:ascii="Times New Roman" w:hAnsi="Times New Roman" w:eastAsia="仿宋_GB2312"/>
          <w:b/>
          <w:bCs/>
          <w:kern w:val="0"/>
          <w:sz w:val="32"/>
          <w:szCs w:val="32"/>
        </w:rPr>
        <w:t>.</w:t>
      </w:r>
      <w:r>
        <w:rPr>
          <w:rFonts w:ascii="Times New Roman" w:hAnsi="Times New Roman" w:eastAsia="仿宋_GB2312"/>
          <w:b/>
          <w:bCs/>
          <w:kern w:val="0"/>
          <w:sz w:val="32"/>
          <w:szCs w:val="32"/>
        </w:rPr>
        <w:t>年度绩效目标</w:t>
      </w:r>
    </w:p>
    <w:p>
      <w:pPr>
        <w:spacing w:line="560" w:lineRule="exact"/>
        <w:ind w:firstLine="640" w:firstLineChars="200"/>
        <w:rPr>
          <w:rFonts w:ascii="Times New Roman" w:hAnsi="Times New Roman" w:eastAsia="仿宋_GB2312"/>
          <w:sz w:val="32"/>
          <w:szCs w:val="32"/>
        </w:rPr>
      </w:pPr>
      <w:bookmarkStart w:id="43" w:name="_Toc57570234"/>
      <w:bookmarkStart w:id="44" w:name="_Toc14670"/>
      <w:bookmarkStart w:id="45" w:name="_Toc10432"/>
      <w:bookmarkStart w:id="46" w:name="_Toc30163838"/>
      <w:r>
        <w:rPr>
          <w:rFonts w:hint="eastAsia" w:ascii="Times New Roman" w:hAnsi="Times New Roman" w:eastAsia="仿宋_GB2312"/>
          <w:sz w:val="32"/>
          <w:szCs w:val="32"/>
        </w:rPr>
        <w:t>本项目</w:t>
      </w:r>
      <w:r>
        <w:rPr>
          <w:rFonts w:ascii="Times New Roman" w:hAnsi="Times New Roman" w:eastAsia="仿宋_GB2312"/>
          <w:sz w:val="32"/>
          <w:szCs w:val="32"/>
        </w:rPr>
        <w:t>2021年度绩效目标如下：</w:t>
      </w:r>
      <w:bookmarkEnd w:id="43"/>
      <w:bookmarkEnd w:id="44"/>
    </w:p>
    <w:p>
      <w:pPr>
        <w:widowControl/>
        <w:overflowPunct w:val="0"/>
        <w:autoSpaceDE w:val="0"/>
        <w:autoSpaceDN w:val="0"/>
        <w:adjustRightInd w:val="0"/>
        <w:spacing w:line="580" w:lineRule="exact"/>
        <w:jc w:val="center"/>
        <w:textAlignment w:val="baseline"/>
        <w:rPr>
          <w:rFonts w:ascii="Times New Roman" w:hAnsi="Times New Roman" w:eastAsia="仿宋_GB2312"/>
          <w:b/>
          <w:bCs/>
          <w:kern w:val="0"/>
          <w:sz w:val="24"/>
          <w:szCs w:val="24"/>
        </w:rPr>
      </w:pPr>
      <w:r>
        <w:rPr>
          <w:rFonts w:hint="eastAsia" w:ascii="Times New Roman" w:hAnsi="Times New Roman" w:eastAsia="仿宋_GB2312"/>
          <w:b/>
          <w:bCs/>
          <w:kern w:val="0"/>
          <w:sz w:val="24"/>
          <w:szCs w:val="24"/>
        </w:rPr>
        <w:t>表1-</w:t>
      </w:r>
      <w:r>
        <w:rPr>
          <w:rFonts w:ascii="Times New Roman" w:hAnsi="Times New Roman" w:eastAsia="仿宋_GB2312"/>
          <w:b/>
          <w:bCs/>
          <w:kern w:val="0"/>
          <w:sz w:val="24"/>
          <w:szCs w:val="24"/>
        </w:rPr>
        <w:t>1</w:t>
      </w:r>
      <w:r>
        <w:rPr>
          <w:rFonts w:hint="eastAsia" w:ascii="Times New Roman" w:hAnsi="Times New Roman" w:eastAsia="仿宋_GB2312"/>
          <w:b/>
          <w:bCs/>
          <w:kern w:val="0"/>
          <w:sz w:val="24"/>
          <w:szCs w:val="24"/>
        </w:rPr>
        <w:t xml:space="preserve">  《吐鲁番市“十四五”综合交通运输发展规划》编制费项目绩效目标表</w:t>
      </w:r>
    </w:p>
    <w:tbl>
      <w:tblPr>
        <w:tblStyle w:val="13"/>
        <w:tblW w:w="8921" w:type="dxa"/>
        <w:tblInd w:w="108" w:type="dxa"/>
        <w:tblLayout w:type="fixed"/>
        <w:tblCellMar>
          <w:top w:w="0" w:type="dxa"/>
          <w:left w:w="108" w:type="dxa"/>
          <w:bottom w:w="0" w:type="dxa"/>
          <w:right w:w="108" w:type="dxa"/>
        </w:tblCellMar>
      </w:tblPr>
      <w:tblGrid>
        <w:gridCol w:w="1984"/>
        <w:gridCol w:w="3752"/>
        <w:gridCol w:w="3185"/>
      </w:tblGrid>
      <w:tr>
        <w:tblPrEx>
          <w:tblCellMar>
            <w:top w:w="0" w:type="dxa"/>
            <w:left w:w="108" w:type="dxa"/>
            <w:bottom w:w="0" w:type="dxa"/>
            <w:right w:w="108" w:type="dxa"/>
          </w:tblCellMar>
        </w:tblPrEx>
        <w:trPr>
          <w:cantSplit/>
          <w:trHeight w:val="538" w:hRule="atLeast"/>
          <w:tblHeader/>
        </w:trPr>
        <w:tc>
          <w:tcPr>
            <w:tcW w:w="1984" w:type="dxa"/>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textAlignment w:val="center"/>
              <w:rPr>
                <w:rFonts w:ascii="Times New Roman" w:hAnsi="Times New Roman" w:eastAsia="仿宋_GB2312" w:cs="仿宋_GB2312"/>
                <w:b/>
                <w:bCs/>
                <w:sz w:val="22"/>
                <w:szCs w:val="22"/>
              </w:rPr>
            </w:pPr>
            <w:r>
              <w:rPr>
                <w:rFonts w:hint="eastAsia" w:ascii="Times New Roman" w:hAnsi="Times New Roman" w:eastAsia="仿宋_GB2312" w:cs="仿宋_GB2312"/>
                <w:b/>
                <w:bCs/>
                <w:sz w:val="22"/>
                <w:szCs w:val="22"/>
              </w:rPr>
              <w:t>二级指标</w:t>
            </w:r>
          </w:p>
        </w:tc>
        <w:tc>
          <w:tcPr>
            <w:tcW w:w="3752" w:type="dxa"/>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textAlignment w:val="center"/>
              <w:rPr>
                <w:rFonts w:ascii="Times New Roman" w:hAnsi="Times New Roman" w:eastAsia="仿宋_GB2312" w:cs="仿宋_GB2312"/>
                <w:b/>
                <w:bCs/>
                <w:sz w:val="22"/>
                <w:szCs w:val="22"/>
              </w:rPr>
            </w:pPr>
            <w:r>
              <w:rPr>
                <w:rFonts w:hint="eastAsia" w:ascii="Times New Roman" w:hAnsi="Times New Roman" w:eastAsia="仿宋_GB2312" w:cs="仿宋_GB2312"/>
                <w:b/>
                <w:bCs/>
                <w:sz w:val="22"/>
                <w:szCs w:val="22"/>
              </w:rPr>
              <w:t>三级指标</w:t>
            </w:r>
          </w:p>
        </w:tc>
        <w:tc>
          <w:tcPr>
            <w:tcW w:w="3185" w:type="dxa"/>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textAlignment w:val="center"/>
              <w:rPr>
                <w:rFonts w:ascii="Times New Roman" w:hAnsi="Times New Roman" w:eastAsia="仿宋_GB2312" w:cs="仿宋_GB2312"/>
                <w:b/>
                <w:bCs/>
                <w:sz w:val="22"/>
                <w:szCs w:val="22"/>
              </w:rPr>
            </w:pPr>
            <w:r>
              <w:rPr>
                <w:rFonts w:hint="eastAsia" w:ascii="Times New Roman" w:hAnsi="Times New Roman" w:eastAsia="仿宋_GB2312" w:cs="仿宋_GB2312"/>
                <w:b/>
                <w:bCs/>
                <w:sz w:val="22"/>
                <w:szCs w:val="22"/>
              </w:rPr>
              <w:t>预期指标值</w:t>
            </w:r>
          </w:p>
        </w:tc>
      </w:tr>
      <w:tr>
        <w:tblPrEx>
          <w:tblCellMar>
            <w:top w:w="0" w:type="dxa"/>
            <w:left w:w="108" w:type="dxa"/>
            <w:bottom w:w="0" w:type="dxa"/>
            <w:right w:w="108" w:type="dxa"/>
          </w:tblCellMar>
        </w:tblPrEx>
        <w:trPr>
          <w:trHeight w:val="90" w:hRule="atLeast"/>
        </w:trPr>
        <w:tc>
          <w:tcPr>
            <w:tcW w:w="1984"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数量指标</w:t>
            </w:r>
          </w:p>
        </w:tc>
        <w:tc>
          <w:tcPr>
            <w:tcW w:w="3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专家实地调研次数</w:t>
            </w:r>
          </w:p>
        </w:tc>
        <w:tc>
          <w:tcPr>
            <w:tcW w:w="3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2.0次</w:t>
            </w:r>
          </w:p>
        </w:tc>
      </w:tr>
      <w:tr>
        <w:tblPrEx>
          <w:tblCellMar>
            <w:top w:w="0" w:type="dxa"/>
            <w:left w:w="108" w:type="dxa"/>
            <w:bottom w:w="0" w:type="dxa"/>
            <w:right w:w="108" w:type="dxa"/>
          </w:tblCellMar>
        </w:tblPrEx>
        <w:trPr>
          <w:trHeight w:val="90" w:hRule="atLeast"/>
        </w:trPr>
        <w:tc>
          <w:tcPr>
            <w:tcW w:w="1984"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p>
        </w:tc>
        <w:tc>
          <w:tcPr>
            <w:tcW w:w="3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编制“十四五”综合交通运输发展规划</w:t>
            </w:r>
          </w:p>
        </w:tc>
        <w:tc>
          <w:tcPr>
            <w:tcW w:w="3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1.0本/套</w:t>
            </w:r>
          </w:p>
        </w:tc>
      </w:tr>
      <w:tr>
        <w:tblPrEx>
          <w:tblCellMar>
            <w:top w:w="0" w:type="dxa"/>
            <w:left w:w="108" w:type="dxa"/>
            <w:bottom w:w="0" w:type="dxa"/>
            <w:right w:w="108" w:type="dxa"/>
          </w:tblCellMar>
        </w:tblPrEx>
        <w:trPr>
          <w:trHeight w:val="386" w:hRule="atLeast"/>
        </w:trPr>
        <w:tc>
          <w:tcPr>
            <w:tcW w:w="1984" w:type="dxa"/>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质量指标</w:t>
            </w:r>
          </w:p>
        </w:tc>
        <w:tc>
          <w:tcPr>
            <w:tcW w:w="3752" w:type="dxa"/>
            <w:tcBorders>
              <w:top w:val="single" w:color="auto" w:sz="4" w:space="0"/>
              <w:left w:val="nil"/>
              <w:bottom w:val="single" w:color="auto" w:sz="4" w:space="0"/>
              <w:right w:val="single" w:color="000000"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规划编制通过率</w:t>
            </w:r>
          </w:p>
        </w:tc>
        <w:tc>
          <w:tcPr>
            <w:tcW w:w="3185" w:type="dxa"/>
            <w:tcBorders>
              <w:top w:val="single" w:color="auto" w:sz="4" w:space="0"/>
              <w:left w:val="nil"/>
              <w:bottom w:val="single" w:color="auto" w:sz="4" w:space="0"/>
              <w:right w:val="single" w:color="000000" w:sz="4" w:space="0"/>
            </w:tcBorders>
            <w:vAlign w:val="center"/>
          </w:tcPr>
          <w:p>
            <w:pPr>
              <w:widowControl/>
              <w:jc w:val="center"/>
              <w:textAlignment w:val="center"/>
              <w:rPr>
                <w:rFonts w:ascii="Times New Roman" w:hAnsi="Times New Roman" w:eastAsia="仿宋_GB2312" w:cs="仿宋_GB2312"/>
                <w:sz w:val="22"/>
                <w:szCs w:val="22"/>
              </w:rPr>
            </w:pPr>
            <w:r>
              <w:rPr>
                <w:rFonts w:ascii="Times New Roman" w:hAnsi="Times New Roman" w:eastAsia="仿宋_GB2312" w:cs="仿宋_GB2312"/>
                <w:sz w:val="22"/>
                <w:szCs w:val="22"/>
              </w:rPr>
              <w:t>100%</w:t>
            </w:r>
          </w:p>
        </w:tc>
      </w:tr>
      <w:tr>
        <w:tblPrEx>
          <w:tblCellMar>
            <w:top w:w="0" w:type="dxa"/>
            <w:left w:w="108" w:type="dxa"/>
            <w:bottom w:w="0" w:type="dxa"/>
            <w:right w:w="108" w:type="dxa"/>
          </w:tblCellMar>
        </w:tblPrEx>
        <w:trPr>
          <w:trHeight w:val="576" w:hRule="atLeast"/>
        </w:trPr>
        <w:tc>
          <w:tcPr>
            <w:tcW w:w="1984" w:type="dxa"/>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时效指标</w:t>
            </w:r>
          </w:p>
        </w:tc>
        <w:tc>
          <w:tcPr>
            <w:tcW w:w="3752" w:type="dxa"/>
            <w:tcBorders>
              <w:top w:val="single" w:color="auto" w:sz="4" w:space="0"/>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 xml:space="preserve">项目任务完成时限                    </w:t>
            </w:r>
          </w:p>
        </w:tc>
        <w:tc>
          <w:tcPr>
            <w:tcW w:w="3185" w:type="dxa"/>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2021年11月</w:t>
            </w:r>
          </w:p>
        </w:tc>
      </w:tr>
      <w:tr>
        <w:tblPrEx>
          <w:tblCellMar>
            <w:top w:w="0" w:type="dxa"/>
            <w:left w:w="108" w:type="dxa"/>
            <w:bottom w:w="0" w:type="dxa"/>
            <w:right w:w="108" w:type="dxa"/>
          </w:tblCellMar>
        </w:tblPrEx>
        <w:trPr>
          <w:trHeight w:val="523" w:hRule="atLeast"/>
        </w:trPr>
        <w:tc>
          <w:tcPr>
            <w:tcW w:w="1984" w:type="dxa"/>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成本指标</w:t>
            </w:r>
          </w:p>
        </w:tc>
        <w:tc>
          <w:tcPr>
            <w:tcW w:w="3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咨询服务费</w:t>
            </w:r>
          </w:p>
        </w:tc>
        <w:tc>
          <w:tcPr>
            <w:tcW w:w="3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1200000.0元</w:t>
            </w:r>
          </w:p>
        </w:tc>
      </w:tr>
      <w:tr>
        <w:tblPrEx>
          <w:tblCellMar>
            <w:top w:w="0" w:type="dxa"/>
            <w:left w:w="108" w:type="dxa"/>
            <w:bottom w:w="0" w:type="dxa"/>
            <w:right w:w="108" w:type="dxa"/>
          </w:tblCellMar>
        </w:tblPrEx>
        <w:trPr>
          <w:trHeight w:val="662" w:hRule="atLeast"/>
        </w:trPr>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可持续影响指标</w:t>
            </w:r>
          </w:p>
        </w:tc>
        <w:tc>
          <w:tcPr>
            <w:tcW w:w="3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推动我市交通运输高质量发展</w:t>
            </w:r>
          </w:p>
        </w:tc>
        <w:tc>
          <w:tcPr>
            <w:tcW w:w="3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有效推动</w:t>
            </w:r>
          </w:p>
        </w:tc>
      </w:tr>
      <w:tr>
        <w:tblPrEx>
          <w:tblCellMar>
            <w:top w:w="0" w:type="dxa"/>
            <w:left w:w="108" w:type="dxa"/>
            <w:bottom w:w="0" w:type="dxa"/>
            <w:right w:w="108" w:type="dxa"/>
          </w:tblCellMar>
        </w:tblPrEx>
        <w:trPr>
          <w:trHeight w:val="728" w:hRule="atLeast"/>
        </w:trPr>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满意度指标</w:t>
            </w:r>
          </w:p>
        </w:tc>
        <w:tc>
          <w:tcPr>
            <w:tcW w:w="3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编制工作满意度</w:t>
            </w:r>
          </w:p>
        </w:tc>
        <w:tc>
          <w:tcPr>
            <w:tcW w:w="3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仿宋_GB2312" w:cs="仿宋_GB2312"/>
                <w:sz w:val="22"/>
                <w:szCs w:val="22"/>
              </w:rPr>
            </w:pPr>
            <w:r>
              <w:rPr>
                <w:rFonts w:ascii="Times New Roman" w:hAnsi="Times New Roman" w:eastAsia="仿宋_GB2312" w:cs="仿宋_GB2312"/>
                <w:sz w:val="22"/>
                <w:szCs w:val="22"/>
              </w:rPr>
              <w:t>95.0%</w:t>
            </w:r>
          </w:p>
        </w:tc>
      </w:tr>
    </w:tbl>
    <w:p>
      <w:pPr>
        <w:pStyle w:val="86"/>
        <w:rPr>
          <w:b/>
        </w:rPr>
      </w:pPr>
      <w:bookmarkStart w:id="47" w:name="_Toc111833604"/>
      <w:bookmarkStart w:id="48" w:name="_Toc111753735"/>
      <w:r>
        <w:rPr>
          <w:rFonts w:hint="eastAsia"/>
        </w:rPr>
        <w:t>二、评价</w:t>
      </w:r>
      <w:bookmarkEnd w:id="45"/>
      <w:r>
        <w:rPr>
          <w:rFonts w:hint="eastAsia"/>
        </w:rPr>
        <w:t>工作概述</w:t>
      </w:r>
      <w:bookmarkEnd w:id="46"/>
      <w:bookmarkEnd w:id="47"/>
      <w:bookmarkEnd w:id="48"/>
    </w:p>
    <w:p>
      <w:pPr>
        <w:pStyle w:val="85"/>
      </w:pPr>
      <w:bookmarkStart w:id="49" w:name="_Toc111833605"/>
      <w:bookmarkStart w:id="50" w:name="_Toc111753736"/>
      <w:bookmarkStart w:id="51" w:name="_Toc30163839"/>
      <w:r>
        <w:t>（一）评价目的与原则</w:t>
      </w:r>
      <w:bookmarkEnd w:id="49"/>
      <w:bookmarkEnd w:id="50"/>
      <w:bookmarkEnd w:id="51"/>
    </w:p>
    <w:p>
      <w:pPr>
        <w:pStyle w:val="32"/>
        <w:spacing w:line="560" w:lineRule="exact"/>
        <w:ind w:firstLine="640"/>
        <w:rPr>
          <w:sz w:val="32"/>
          <w:szCs w:val="32"/>
        </w:rPr>
      </w:pPr>
      <w:r>
        <w:rPr>
          <w:sz w:val="32"/>
          <w:szCs w:val="32"/>
        </w:rPr>
        <w:t>本次评价坚持定量优先、定量与定性相结合的方式，始终遵循科学规范、公正公开、分级分类、绩效相关的基本原则。通过对</w:t>
      </w:r>
      <w:r>
        <w:rPr>
          <w:rFonts w:hint="eastAsia"/>
          <w:sz w:val="32"/>
          <w:szCs w:val="32"/>
        </w:rPr>
        <w:t>2</w:t>
      </w:r>
      <w:r>
        <w:rPr>
          <w:sz w:val="32"/>
          <w:szCs w:val="32"/>
        </w:rPr>
        <w:t>021年</w:t>
      </w:r>
      <w:r>
        <w:rPr>
          <w:rFonts w:hint="eastAsia"/>
          <w:sz w:val="32"/>
          <w:szCs w:val="32"/>
        </w:rPr>
        <w:t>《吐鲁番市“十四五”综合交通运输发展规划》编制费项目</w:t>
      </w:r>
      <w:r>
        <w:rPr>
          <w:sz w:val="32"/>
          <w:szCs w:val="32"/>
        </w:rPr>
        <w:t>进行绩效评价，旨在了解项目资金使用和项目管理情况</w:t>
      </w:r>
      <w:r>
        <w:rPr>
          <w:rFonts w:hint="eastAsia"/>
          <w:sz w:val="32"/>
          <w:szCs w:val="32"/>
        </w:rPr>
        <w:t>、取得的成绩及效益，</w:t>
      </w:r>
      <w:r>
        <w:rPr>
          <w:sz w:val="32"/>
          <w:szCs w:val="32"/>
        </w:rPr>
        <w:t>以发现本项目在项目管理及预算资金安排</w:t>
      </w:r>
      <w:r>
        <w:rPr>
          <w:rFonts w:hint="eastAsia"/>
          <w:sz w:val="32"/>
          <w:szCs w:val="32"/>
        </w:rPr>
        <w:t>、项目管理及项目实施</w:t>
      </w:r>
      <w:r>
        <w:rPr>
          <w:sz w:val="32"/>
          <w:szCs w:val="32"/>
        </w:rPr>
        <w:t>等方面存在的问题并提出针对性的</w:t>
      </w:r>
      <w:r>
        <w:rPr>
          <w:rFonts w:hint="eastAsia"/>
          <w:sz w:val="32"/>
          <w:szCs w:val="32"/>
        </w:rPr>
        <w:t>建议</w:t>
      </w:r>
      <w:r>
        <w:rPr>
          <w:sz w:val="32"/>
          <w:szCs w:val="32"/>
        </w:rPr>
        <w:t>。</w:t>
      </w:r>
    </w:p>
    <w:p>
      <w:pPr>
        <w:pStyle w:val="85"/>
      </w:pPr>
      <w:bookmarkStart w:id="52" w:name="_Toc30163840"/>
      <w:bookmarkStart w:id="53" w:name="_Toc111753737"/>
      <w:bookmarkStart w:id="54" w:name="_Toc111833606"/>
      <w:r>
        <w:t>（二）</w:t>
      </w:r>
      <w:bookmarkEnd w:id="52"/>
      <w:r>
        <w:t>评价方法</w:t>
      </w:r>
      <w:bookmarkEnd w:id="53"/>
      <w:bookmarkEnd w:id="54"/>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本次评价主要运用文献法、社会调查法、对比分析法等多种方法，具体评价方法如下：</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bCs/>
          <w:kern w:val="0"/>
          <w:sz w:val="32"/>
          <w:szCs w:val="32"/>
        </w:rPr>
        <w:t>文献法</w:t>
      </w:r>
      <w:r>
        <w:rPr>
          <w:rFonts w:ascii="Times New Roman" w:hAnsi="Times New Roman" w:eastAsia="仿宋_GB2312"/>
          <w:kern w:val="0"/>
          <w:sz w:val="32"/>
          <w:szCs w:val="32"/>
        </w:rPr>
        <w:t>：通过检索、查阅、梳理</w:t>
      </w:r>
      <w:r>
        <w:rPr>
          <w:rFonts w:hint="eastAsia" w:ascii="Times New Roman" w:hAnsi="Times New Roman" w:eastAsia="仿宋_GB2312"/>
          <w:kern w:val="0"/>
          <w:sz w:val="32"/>
          <w:szCs w:val="32"/>
        </w:rPr>
        <w:t>《吐鲁番市“十四五”综合交通运输发展规划》编制费项目</w:t>
      </w:r>
      <w:r>
        <w:rPr>
          <w:rFonts w:ascii="Times New Roman" w:hAnsi="Times New Roman" w:eastAsia="仿宋_GB2312"/>
          <w:kern w:val="0"/>
          <w:sz w:val="32"/>
          <w:szCs w:val="32"/>
        </w:rPr>
        <w:t>相关的政策文件、招标文件等相关材料，了解立项依据的充分性及立项规范性。</w:t>
      </w:r>
    </w:p>
    <w:p>
      <w:pPr>
        <w:spacing w:line="560" w:lineRule="exact"/>
        <w:ind w:firstLine="643" w:firstLineChars="200"/>
        <w:rPr>
          <w:rFonts w:ascii="Times New Roman" w:hAnsi="Times New Roman" w:eastAsia="仿宋_GB2312"/>
          <w:kern w:val="0"/>
          <w:sz w:val="32"/>
          <w:szCs w:val="32"/>
        </w:rPr>
      </w:pPr>
      <w:bookmarkStart w:id="55" w:name="_Toc438563763"/>
      <w:bookmarkStart w:id="56" w:name="_Toc435006004"/>
      <w:bookmarkStart w:id="57" w:name="_Toc453593832"/>
      <w:bookmarkStart w:id="58" w:name="_Toc371295690"/>
      <w:bookmarkStart w:id="59" w:name="_Toc452370924"/>
      <w:bookmarkStart w:id="60" w:name="_Toc371600465"/>
      <w:bookmarkStart w:id="61" w:name="_Toc451758897"/>
      <w:bookmarkStart w:id="62" w:name="_Toc435602755"/>
      <w:bookmarkStart w:id="63" w:name="_Toc451937457"/>
      <w:bookmarkStart w:id="64" w:name="_Toc435460264"/>
      <w:bookmarkStart w:id="65" w:name="_Toc435026288"/>
      <w:r>
        <w:rPr>
          <w:rFonts w:ascii="Times New Roman" w:hAnsi="Times New Roman" w:eastAsia="仿宋_GB2312"/>
          <w:b/>
          <w:bCs/>
          <w:kern w:val="0"/>
          <w:sz w:val="32"/>
          <w:szCs w:val="32"/>
        </w:rPr>
        <w:t>社会调查法</w:t>
      </w:r>
      <w:bookmarkEnd w:id="55"/>
      <w:bookmarkEnd w:id="56"/>
      <w:bookmarkEnd w:id="57"/>
      <w:bookmarkEnd w:id="58"/>
      <w:bookmarkEnd w:id="59"/>
      <w:bookmarkEnd w:id="60"/>
      <w:bookmarkEnd w:id="61"/>
      <w:bookmarkEnd w:id="62"/>
      <w:bookmarkEnd w:id="63"/>
      <w:bookmarkEnd w:id="64"/>
      <w:bookmarkEnd w:id="65"/>
      <w:r>
        <w:rPr>
          <w:rFonts w:ascii="Times New Roman" w:hAnsi="Times New Roman" w:eastAsia="仿宋_GB2312"/>
          <w:kern w:val="0"/>
          <w:sz w:val="32"/>
          <w:szCs w:val="32"/>
        </w:rPr>
        <w:t>：指深入了解项目参与主体和利益相关方对项目认知及态度的主要方法，同时也是搜集标准统计数据的有效途径。评价组将采用访谈、问卷调查等方法对本次评价项目的制定方、实施方和受益方等进行充分调研，更加充分地掌握项目的内容、实施过程、实施效果等，为评价指标评分和结果分析提供支撑。</w:t>
      </w:r>
    </w:p>
    <w:p>
      <w:pPr>
        <w:spacing w:line="560" w:lineRule="exact"/>
        <w:ind w:firstLine="643" w:firstLineChars="200"/>
        <w:rPr>
          <w:rFonts w:ascii="Times New Roman" w:hAnsi="Times New Roman" w:eastAsia="仿宋_GB2312"/>
          <w:sz w:val="32"/>
          <w:szCs w:val="32"/>
        </w:rPr>
      </w:pPr>
      <w:bookmarkStart w:id="66" w:name="_Toc30163841"/>
      <w:r>
        <w:rPr>
          <w:rFonts w:ascii="Times New Roman" w:hAnsi="Times New Roman" w:eastAsia="仿宋_GB2312"/>
          <w:b/>
          <w:bCs/>
          <w:sz w:val="32"/>
          <w:szCs w:val="32"/>
        </w:rPr>
        <w:t>对比分析法</w:t>
      </w:r>
      <w:r>
        <w:rPr>
          <w:rFonts w:ascii="Times New Roman" w:hAnsi="Times New Roman" w:eastAsia="仿宋_GB2312"/>
          <w:kern w:val="0"/>
          <w:sz w:val="32"/>
          <w:szCs w:val="32"/>
        </w:rPr>
        <w:t>：</w:t>
      </w:r>
      <w:r>
        <w:rPr>
          <w:rFonts w:ascii="Times New Roman" w:hAnsi="Times New Roman" w:eastAsia="仿宋_GB2312"/>
          <w:sz w:val="32"/>
          <w:szCs w:val="32"/>
        </w:rPr>
        <w:t>对比分析是绩效评价中分析政策产出和效果常用的方法之一。本次专项资金政策绩效评价过程中，评价组将各指标的实际完成值与绩效目标进行对比分析，考察分析绩效目标的完成情况及实现程度和效果。</w:t>
      </w:r>
    </w:p>
    <w:p>
      <w:pPr>
        <w:pStyle w:val="85"/>
      </w:pPr>
      <w:bookmarkStart w:id="67" w:name="_Toc111833607"/>
      <w:r>
        <w:rPr>
          <w:rFonts w:hint="eastAsia"/>
        </w:rPr>
        <w:t>（三）</w:t>
      </w:r>
      <w:r>
        <w:t>绩效评价指标体系</w:t>
      </w:r>
      <w:bookmarkEnd w:id="66"/>
      <w:bookmarkEnd w:id="67"/>
    </w:p>
    <w:p>
      <w:pPr>
        <w:widowControl/>
        <w:spacing w:line="560" w:lineRule="exact"/>
        <w:ind w:firstLine="643" w:firstLineChars="200"/>
        <w:rPr>
          <w:rFonts w:ascii="Times New Roman" w:hAnsi="Times New Roman" w:eastAsia="仿宋_GB2312"/>
          <w:b/>
          <w:bCs/>
          <w:kern w:val="0"/>
          <w:sz w:val="32"/>
          <w:szCs w:val="32"/>
        </w:rPr>
      </w:pPr>
      <w:bookmarkStart w:id="68" w:name="_Toc28709"/>
      <w:bookmarkStart w:id="69" w:name="_Toc864"/>
      <w:r>
        <w:rPr>
          <w:rFonts w:hint="eastAsia" w:ascii="Times New Roman" w:hAnsi="Times New Roman" w:eastAsia="仿宋_GB2312"/>
          <w:b/>
          <w:bCs/>
          <w:kern w:val="0"/>
          <w:sz w:val="32"/>
          <w:szCs w:val="32"/>
        </w:rPr>
        <w:t>1</w:t>
      </w:r>
      <w:r>
        <w:rPr>
          <w:rFonts w:ascii="Times New Roman" w:hAnsi="Times New Roman" w:eastAsia="仿宋_GB2312"/>
          <w:b/>
          <w:bCs/>
          <w:kern w:val="0"/>
          <w:sz w:val="32"/>
          <w:szCs w:val="32"/>
        </w:rPr>
        <w:t>.指标体系设计思路</w:t>
      </w:r>
      <w:bookmarkEnd w:id="68"/>
      <w:bookmarkEnd w:id="69"/>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绩效评价的基本原理、原则和项目特点，结合绩效目标，由项目组独立研制科学的指标体系。评价指标体系按照逻辑分析法设计，包括项目决策、项目管理、项目绩效、影响力四部分内容，力求全面考察项目决策、资金投入、过程管理、产出效果和社会效益，体现从项目本身、执行到效果的逻辑路径。评价指标体系是评价的依据，评价数据通过由基础表、访谈等方式获取。</w:t>
      </w:r>
    </w:p>
    <w:p>
      <w:pPr>
        <w:widowControl/>
        <w:spacing w:line="560" w:lineRule="exact"/>
        <w:ind w:firstLine="643" w:firstLineChars="200"/>
        <w:rPr>
          <w:rFonts w:ascii="Times New Roman" w:hAnsi="Times New Roman" w:eastAsia="仿宋_GB2312"/>
          <w:b/>
          <w:bCs/>
          <w:kern w:val="0"/>
          <w:sz w:val="32"/>
          <w:szCs w:val="32"/>
        </w:rPr>
      </w:pPr>
      <w:bookmarkStart w:id="70" w:name="_Toc26179"/>
      <w:bookmarkStart w:id="71" w:name="_Toc5259"/>
      <w:r>
        <w:rPr>
          <w:rFonts w:hint="eastAsia" w:ascii="Times New Roman" w:hAnsi="Times New Roman" w:eastAsia="仿宋_GB2312"/>
          <w:b/>
          <w:bCs/>
          <w:kern w:val="0"/>
          <w:sz w:val="32"/>
          <w:szCs w:val="32"/>
        </w:rPr>
        <w:t>2</w:t>
      </w:r>
      <w:r>
        <w:rPr>
          <w:rFonts w:ascii="Times New Roman" w:hAnsi="Times New Roman" w:eastAsia="仿宋_GB2312"/>
          <w:b/>
          <w:bCs/>
          <w:kern w:val="0"/>
          <w:sz w:val="32"/>
          <w:szCs w:val="32"/>
        </w:rPr>
        <w:t>.指标</w:t>
      </w:r>
      <w:bookmarkEnd w:id="70"/>
      <w:r>
        <w:rPr>
          <w:rFonts w:ascii="Times New Roman" w:hAnsi="Times New Roman" w:eastAsia="仿宋_GB2312"/>
          <w:b/>
          <w:bCs/>
          <w:kern w:val="0"/>
          <w:sz w:val="32"/>
          <w:szCs w:val="32"/>
        </w:rPr>
        <w:t>解释</w:t>
      </w:r>
      <w:bookmarkEnd w:id="71"/>
    </w:p>
    <w:p>
      <w:pPr>
        <w:pStyle w:val="32"/>
        <w:spacing w:line="560" w:lineRule="exact"/>
        <w:ind w:firstLine="640"/>
        <w:rPr>
          <w:sz w:val="32"/>
          <w:szCs w:val="32"/>
        </w:rPr>
      </w:pPr>
      <w:r>
        <w:rPr>
          <w:sz w:val="32"/>
          <w:szCs w:val="32"/>
        </w:rPr>
        <w:t>（1）权重</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本报告评价指标体系各指标的权重由评价组根据项目评价需求，在调研基础上依据指标的重要性进行分配，在经专家论证后结合专家意见最终确定。</w:t>
      </w:r>
    </w:p>
    <w:p>
      <w:pPr>
        <w:pStyle w:val="32"/>
        <w:spacing w:line="560" w:lineRule="exact"/>
        <w:ind w:firstLine="640"/>
        <w:rPr>
          <w:sz w:val="32"/>
          <w:szCs w:val="32"/>
        </w:rPr>
      </w:pPr>
      <w:r>
        <w:rPr>
          <w:sz w:val="32"/>
          <w:szCs w:val="32"/>
        </w:rPr>
        <w:t>（2）评价标准</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本报告指标体系的评价标准按照计划标准、行业标准、历史标准等制定。对于定性指标，一般通过问卷及访谈采集相关数据，在实施过程中运用等级描述法进行考核，通过设置分级标准来体现该指标认可程度的差异。对于定量指标，一般通过公式等方式予以量化，可以准确数量定义、精确衡量并能设定目标值的考核指标。</w:t>
      </w:r>
    </w:p>
    <w:p>
      <w:pPr>
        <w:widowControl/>
        <w:spacing w:line="560" w:lineRule="exact"/>
        <w:ind w:firstLine="643" w:firstLineChars="200"/>
        <w:rPr>
          <w:rFonts w:ascii="Times New Roman" w:hAnsi="Times New Roman" w:eastAsia="仿宋_GB2312"/>
          <w:b/>
          <w:bCs/>
          <w:kern w:val="0"/>
          <w:sz w:val="32"/>
          <w:szCs w:val="32"/>
        </w:rPr>
      </w:pPr>
      <w:bookmarkStart w:id="72" w:name="_Toc31619"/>
      <w:r>
        <w:rPr>
          <w:rFonts w:ascii="Times New Roman" w:hAnsi="Times New Roman" w:eastAsia="仿宋_GB2312"/>
          <w:b/>
          <w:bCs/>
          <w:kern w:val="0"/>
          <w:sz w:val="32"/>
          <w:szCs w:val="32"/>
        </w:rPr>
        <w:t>3.指标体系</w:t>
      </w:r>
      <w:bookmarkEnd w:id="72"/>
    </w:p>
    <w:p>
      <w:pPr>
        <w:pStyle w:val="32"/>
        <w:widowControl/>
        <w:spacing w:line="560" w:lineRule="exact"/>
        <w:ind w:firstLine="640"/>
        <w:rPr>
          <w:sz w:val="32"/>
          <w:szCs w:val="32"/>
        </w:rPr>
      </w:pPr>
      <w:bookmarkStart w:id="73" w:name="_Toc24159"/>
      <w:r>
        <w:rPr>
          <w:sz w:val="32"/>
          <w:szCs w:val="32"/>
        </w:rPr>
        <w:t>根据</w:t>
      </w:r>
      <w:r>
        <w:rPr>
          <w:rFonts w:hint="eastAsia"/>
          <w:sz w:val="32"/>
          <w:szCs w:val="32"/>
        </w:rPr>
        <w:t>自治区财政厅</w:t>
      </w:r>
      <w:r>
        <w:rPr>
          <w:sz w:val="32"/>
          <w:szCs w:val="32"/>
        </w:rPr>
        <w:t>《关于印发〈自治区本级财政支出绩效评价管理暂行办法〉的通知》（新财预〔2018〕188号）</w:t>
      </w:r>
      <w:r>
        <w:rPr>
          <w:rFonts w:hint="eastAsia"/>
          <w:sz w:val="32"/>
          <w:szCs w:val="32"/>
        </w:rPr>
        <w:t>、财政部</w:t>
      </w:r>
      <w:r>
        <w:rPr>
          <w:sz w:val="32"/>
          <w:szCs w:val="32"/>
        </w:rPr>
        <w:t>《项目支出绩效评价管理办法》（财预〔2020〕10号）等相关文件要求，本次专项资金的评价指标体系包括评价指标、权重、指标解释、计算公式、评分标准，</w:t>
      </w:r>
      <w:bookmarkEnd w:id="73"/>
      <w:r>
        <w:rPr>
          <w:sz w:val="32"/>
          <w:szCs w:val="32"/>
        </w:rPr>
        <w:t>完整的绩效评价指标体系及评分过程详见附件1。</w:t>
      </w:r>
    </w:p>
    <w:p>
      <w:pPr>
        <w:pStyle w:val="85"/>
      </w:pPr>
      <w:bookmarkStart w:id="74" w:name="_Toc111753738"/>
      <w:bookmarkStart w:id="75" w:name="_Toc111833608"/>
      <w:r>
        <w:t>（</w:t>
      </w:r>
      <w:r>
        <w:rPr>
          <w:rFonts w:hint="eastAsia"/>
        </w:rPr>
        <w:t>四</w:t>
      </w:r>
      <w:r>
        <w:t>）评价</w:t>
      </w:r>
      <w:bookmarkEnd w:id="74"/>
      <w:r>
        <w:rPr>
          <w:rFonts w:hint="eastAsia"/>
        </w:rPr>
        <w:t>组织实施</w:t>
      </w:r>
      <w:bookmarkEnd w:id="75"/>
    </w:p>
    <w:p>
      <w:pPr>
        <w:widowControl/>
        <w:overflowPunct w:val="0"/>
        <w:autoSpaceDE w:val="0"/>
        <w:autoSpaceDN w:val="0"/>
        <w:adjustRightInd w:val="0"/>
        <w:spacing w:line="560" w:lineRule="exact"/>
        <w:ind w:firstLine="643" w:firstLineChars="200"/>
        <w:textAlignment w:val="baseline"/>
        <w:rPr>
          <w:rFonts w:ascii="Times New Roman" w:hAnsi="Times New Roman" w:eastAsia="仿宋_GB2312"/>
          <w:b/>
          <w:bCs/>
          <w:kern w:val="0"/>
          <w:sz w:val="32"/>
          <w:szCs w:val="32"/>
        </w:rPr>
      </w:pPr>
      <w:bookmarkStart w:id="76" w:name="_Toc31947"/>
      <w:bookmarkStart w:id="77" w:name="_Toc507"/>
      <w:r>
        <w:rPr>
          <w:rFonts w:ascii="Times New Roman" w:hAnsi="Times New Roman" w:eastAsia="仿宋_GB2312"/>
          <w:b/>
          <w:bCs/>
          <w:kern w:val="0"/>
          <w:sz w:val="32"/>
          <w:szCs w:val="32"/>
        </w:rPr>
        <w:t>1.评价人员</w:t>
      </w:r>
      <w:bookmarkEnd w:id="76"/>
    </w:p>
    <w:p>
      <w:pPr>
        <w:widowControl/>
        <w:overflowPunct w:val="0"/>
        <w:autoSpaceDE w:val="0"/>
        <w:autoSpaceDN w:val="0"/>
        <w:adjustRightInd w:val="0"/>
        <w:spacing w:line="560" w:lineRule="exact"/>
        <w:ind w:firstLine="640" w:firstLineChars="200"/>
        <w:textAlignment w:val="baseline"/>
        <w:rPr>
          <w:rFonts w:ascii="Times New Roman" w:hAnsi="Times New Roman" w:eastAsia="仿宋_GB2312"/>
          <w:b/>
          <w:kern w:val="58"/>
          <w:sz w:val="32"/>
          <w:szCs w:val="32"/>
        </w:rPr>
      </w:pPr>
      <w:bookmarkStart w:id="78" w:name="_Toc57570239"/>
      <w:bookmarkStart w:id="79" w:name="_Toc9102"/>
      <w:bookmarkStart w:id="80" w:name="_Toc22117"/>
      <w:r>
        <w:rPr>
          <w:rFonts w:ascii="Times New Roman" w:hAnsi="Times New Roman" w:eastAsia="仿宋_GB2312"/>
          <w:kern w:val="58"/>
          <w:sz w:val="32"/>
          <w:szCs w:val="32"/>
        </w:rPr>
        <w:t>本次评价委托方为吐鲁番市财政局，受托方为新疆财讯睿智信息咨询有限公司。新疆财讯睿智信息咨询有限公司负责完成评价工作，包括前期调查，制定工作方案，调查取数，撰写评价报告。具体人员名单如下：</w:t>
      </w:r>
      <w:bookmarkEnd w:id="78"/>
      <w:bookmarkEnd w:id="79"/>
    </w:p>
    <w:p>
      <w:pPr>
        <w:pStyle w:val="32"/>
        <w:spacing w:line="580" w:lineRule="exact"/>
        <w:ind w:firstLine="0" w:firstLineChars="0"/>
        <w:jc w:val="center"/>
        <w:rPr>
          <w:b/>
          <w:sz w:val="24"/>
        </w:rPr>
      </w:pPr>
      <w:r>
        <w:rPr>
          <w:rFonts w:hint="eastAsia"/>
          <w:b/>
          <w:sz w:val="24"/>
        </w:rPr>
        <w:t>表</w:t>
      </w:r>
      <w:r>
        <w:rPr>
          <w:b/>
          <w:sz w:val="24"/>
        </w:rPr>
        <w:t>4</w:t>
      </w:r>
      <w:r>
        <w:rPr>
          <w:rFonts w:hint="eastAsia"/>
          <w:b/>
          <w:sz w:val="24"/>
        </w:rPr>
        <w:t>-1 评价人员清单</w:t>
      </w:r>
    </w:p>
    <w:tbl>
      <w:tblPr>
        <w:tblStyle w:val="13"/>
        <w:tblW w:w="8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188"/>
        <w:gridCol w:w="1899"/>
        <w:gridCol w:w="4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8" w:type="dxa"/>
            <w:shd w:val="clear" w:color="auto" w:fill="A6A6A6"/>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序号</w:t>
            </w:r>
          </w:p>
        </w:tc>
        <w:tc>
          <w:tcPr>
            <w:tcW w:w="1188" w:type="dxa"/>
            <w:shd w:val="clear" w:color="auto" w:fill="A6A6A6"/>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姓名</w:t>
            </w:r>
          </w:p>
        </w:tc>
        <w:tc>
          <w:tcPr>
            <w:tcW w:w="1899" w:type="dxa"/>
            <w:shd w:val="clear" w:color="auto" w:fill="A6A6A6"/>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本项目中角色</w:t>
            </w:r>
          </w:p>
        </w:tc>
        <w:tc>
          <w:tcPr>
            <w:tcW w:w="4595" w:type="dxa"/>
            <w:shd w:val="clear" w:color="auto" w:fill="A6A6A6"/>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28"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1</w:t>
            </w:r>
          </w:p>
        </w:tc>
        <w:tc>
          <w:tcPr>
            <w:tcW w:w="1188"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李刚</w:t>
            </w:r>
          </w:p>
        </w:tc>
        <w:tc>
          <w:tcPr>
            <w:tcW w:w="1899"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项目主评人</w:t>
            </w:r>
          </w:p>
        </w:tc>
        <w:tc>
          <w:tcPr>
            <w:tcW w:w="4595"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负责绩效评价过程指导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28"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2</w:t>
            </w:r>
          </w:p>
        </w:tc>
        <w:tc>
          <w:tcPr>
            <w:tcW w:w="1188"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田文艳</w:t>
            </w:r>
          </w:p>
        </w:tc>
        <w:tc>
          <w:tcPr>
            <w:tcW w:w="1899"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项目质控</w:t>
            </w:r>
          </w:p>
        </w:tc>
        <w:tc>
          <w:tcPr>
            <w:tcW w:w="4595"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负责项目评价方案、项目报告等重点工作内容的质量控制，技术指导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928"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3</w:t>
            </w:r>
          </w:p>
        </w:tc>
        <w:tc>
          <w:tcPr>
            <w:tcW w:w="1188"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朱振江</w:t>
            </w:r>
          </w:p>
        </w:tc>
        <w:tc>
          <w:tcPr>
            <w:tcW w:w="1899"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项目经理</w:t>
            </w:r>
          </w:p>
        </w:tc>
        <w:tc>
          <w:tcPr>
            <w:tcW w:w="4595"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负责对项目实施统筹、资料搜集、整理及数据分析、撰写工作方案及评价报告等并对评价报告负责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28"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4</w:t>
            </w:r>
          </w:p>
        </w:tc>
        <w:tc>
          <w:tcPr>
            <w:tcW w:w="1188"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张桐</w:t>
            </w:r>
          </w:p>
        </w:tc>
        <w:tc>
          <w:tcPr>
            <w:tcW w:w="1899"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项目助理</w:t>
            </w:r>
          </w:p>
        </w:tc>
        <w:tc>
          <w:tcPr>
            <w:tcW w:w="4595"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负责资料搜集、整理及数据分析等，并协助撰写工作方案及评价报告等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928"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5</w:t>
            </w:r>
          </w:p>
        </w:tc>
        <w:tc>
          <w:tcPr>
            <w:tcW w:w="1188"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乔永胜</w:t>
            </w:r>
          </w:p>
        </w:tc>
        <w:tc>
          <w:tcPr>
            <w:tcW w:w="1899"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项目助理</w:t>
            </w:r>
          </w:p>
        </w:tc>
        <w:tc>
          <w:tcPr>
            <w:tcW w:w="4595"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负责资料搜集、整理及数据分析等，并协助撰写工作方案及评价报告等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28"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6</w:t>
            </w:r>
          </w:p>
        </w:tc>
        <w:tc>
          <w:tcPr>
            <w:tcW w:w="1188"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侯丹丹</w:t>
            </w:r>
          </w:p>
        </w:tc>
        <w:tc>
          <w:tcPr>
            <w:tcW w:w="1899"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项目助理</w:t>
            </w:r>
          </w:p>
        </w:tc>
        <w:tc>
          <w:tcPr>
            <w:tcW w:w="4595" w:type="dxa"/>
            <w:vAlign w:val="center"/>
          </w:tcPr>
          <w:p>
            <w:pPr>
              <w:widowControl/>
              <w:jc w:val="center"/>
              <w:textAlignment w:val="center"/>
              <w:rPr>
                <w:rFonts w:ascii="Times New Roman" w:hAnsi="Times New Roman" w:eastAsia="仿宋_GB2312" w:cs="仿宋_GB2312"/>
                <w:sz w:val="22"/>
                <w:szCs w:val="22"/>
              </w:rPr>
            </w:pPr>
            <w:r>
              <w:rPr>
                <w:rFonts w:hint="eastAsia" w:ascii="Times New Roman" w:hAnsi="Times New Roman" w:eastAsia="仿宋_GB2312" w:cs="仿宋_GB2312"/>
                <w:sz w:val="22"/>
                <w:szCs w:val="22"/>
              </w:rPr>
              <w:t>配合公司人员完成社会调研工作</w:t>
            </w:r>
          </w:p>
        </w:tc>
      </w:tr>
    </w:tbl>
    <w:p>
      <w:pPr>
        <w:pStyle w:val="2"/>
        <w:widowControl/>
        <w:overflowPunct w:val="0"/>
        <w:autoSpaceDE w:val="0"/>
        <w:autoSpaceDN w:val="0"/>
        <w:adjustRightInd w:val="0"/>
        <w:spacing w:line="560" w:lineRule="exact"/>
        <w:ind w:firstLine="640" w:firstLineChars="200"/>
        <w:textAlignment w:val="baseline"/>
        <w:rPr>
          <w:rFonts w:ascii="Times New Roman" w:hAnsi="Times New Roman" w:eastAsia="仿宋_GB2312"/>
          <w:b w:val="0"/>
          <w:bCs/>
          <w:kern w:val="0"/>
          <w:sz w:val="32"/>
          <w:szCs w:val="32"/>
        </w:rPr>
      </w:pPr>
    </w:p>
    <w:p>
      <w:pPr>
        <w:widowControl/>
        <w:spacing w:line="560" w:lineRule="exact"/>
        <w:ind w:firstLine="643" w:firstLineChars="200"/>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2. 评价进度</w:t>
      </w:r>
      <w:bookmarkEnd w:id="80"/>
    </w:p>
    <w:p>
      <w:pPr>
        <w:pStyle w:val="32"/>
        <w:widowControl/>
        <w:spacing w:line="560" w:lineRule="exact"/>
        <w:ind w:firstLine="640"/>
        <w:rPr>
          <w:rFonts w:cs="仿宋_GB2312"/>
          <w:sz w:val="32"/>
          <w:szCs w:val="32"/>
        </w:rPr>
      </w:pPr>
      <w:bookmarkStart w:id="81" w:name="_Toc30163842"/>
      <w:bookmarkStart w:id="82" w:name="_Toc30163843"/>
      <w:r>
        <w:rPr>
          <w:rFonts w:hint="eastAsia" w:cs="仿宋_GB2312"/>
          <w:sz w:val="32"/>
          <w:szCs w:val="32"/>
        </w:rPr>
        <w:t>本次项目的评价期间为202</w:t>
      </w:r>
      <w:r>
        <w:rPr>
          <w:rFonts w:cs="仿宋_GB2312"/>
          <w:sz w:val="32"/>
          <w:szCs w:val="32"/>
        </w:rPr>
        <w:t>2</w:t>
      </w:r>
      <w:r>
        <w:rPr>
          <w:rFonts w:hint="eastAsia" w:cs="仿宋_GB2312"/>
          <w:sz w:val="32"/>
          <w:szCs w:val="32"/>
        </w:rPr>
        <w:t>年</w:t>
      </w:r>
      <w:r>
        <w:rPr>
          <w:rFonts w:cs="仿宋_GB2312"/>
          <w:sz w:val="32"/>
          <w:szCs w:val="32"/>
        </w:rPr>
        <w:t>8</w:t>
      </w:r>
      <w:r>
        <w:rPr>
          <w:rFonts w:hint="eastAsia" w:cs="仿宋_GB2312"/>
          <w:sz w:val="32"/>
          <w:szCs w:val="32"/>
        </w:rPr>
        <w:t>月</w:t>
      </w:r>
      <w:r>
        <w:rPr>
          <w:rFonts w:cs="仿宋_GB2312"/>
          <w:sz w:val="32"/>
          <w:szCs w:val="32"/>
        </w:rPr>
        <w:t>2</w:t>
      </w:r>
      <w:r>
        <w:rPr>
          <w:rFonts w:hint="eastAsia" w:cs="仿宋_GB2312"/>
          <w:sz w:val="32"/>
          <w:szCs w:val="32"/>
        </w:rPr>
        <w:t>日至202</w:t>
      </w:r>
      <w:r>
        <w:rPr>
          <w:rFonts w:cs="仿宋_GB2312"/>
          <w:sz w:val="32"/>
          <w:szCs w:val="32"/>
        </w:rPr>
        <w:t>2</w:t>
      </w:r>
      <w:r>
        <w:rPr>
          <w:rFonts w:hint="eastAsia" w:cs="仿宋_GB2312"/>
          <w:sz w:val="32"/>
          <w:szCs w:val="32"/>
        </w:rPr>
        <w:t>年</w:t>
      </w:r>
      <w:r>
        <w:rPr>
          <w:rFonts w:cs="仿宋_GB2312"/>
          <w:sz w:val="32"/>
          <w:szCs w:val="32"/>
        </w:rPr>
        <w:t>8</w:t>
      </w:r>
      <w:r>
        <w:rPr>
          <w:rFonts w:hint="eastAsia" w:cs="仿宋_GB2312"/>
          <w:sz w:val="32"/>
          <w:szCs w:val="32"/>
        </w:rPr>
        <w:t>月31日，具体安排如下：</w:t>
      </w:r>
    </w:p>
    <w:p>
      <w:pPr>
        <w:pStyle w:val="32"/>
        <w:widowControl/>
        <w:spacing w:line="560" w:lineRule="exact"/>
        <w:ind w:firstLine="640"/>
        <w:rPr>
          <w:rFonts w:cs="仿宋_GB2312"/>
          <w:sz w:val="32"/>
          <w:szCs w:val="32"/>
        </w:rPr>
      </w:pPr>
      <w:bookmarkStart w:id="83" w:name="_Toc5320"/>
      <w:r>
        <w:rPr>
          <w:rFonts w:hint="eastAsia" w:cs="仿宋_GB2312"/>
          <w:sz w:val="32"/>
          <w:szCs w:val="32"/>
        </w:rPr>
        <w:t>（</w:t>
      </w:r>
      <w:r>
        <w:rPr>
          <w:rFonts w:cs="仿宋_GB2312"/>
          <w:sz w:val="32"/>
          <w:szCs w:val="32"/>
        </w:rPr>
        <w:t>1</w:t>
      </w:r>
      <w:r>
        <w:rPr>
          <w:rFonts w:hint="eastAsia" w:cs="仿宋_GB2312"/>
          <w:sz w:val="32"/>
          <w:szCs w:val="32"/>
        </w:rPr>
        <w:t>）评价实施阶段——202</w:t>
      </w:r>
      <w:r>
        <w:rPr>
          <w:rFonts w:cs="仿宋_GB2312"/>
          <w:sz w:val="32"/>
          <w:szCs w:val="32"/>
        </w:rPr>
        <w:t>2</w:t>
      </w:r>
      <w:r>
        <w:rPr>
          <w:rFonts w:hint="eastAsia" w:cs="仿宋_GB2312"/>
          <w:sz w:val="32"/>
          <w:szCs w:val="32"/>
        </w:rPr>
        <w:t>年</w:t>
      </w:r>
      <w:r>
        <w:rPr>
          <w:rFonts w:cs="仿宋_GB2312"/>
          <w:sz w:val="32"/>
          <w:szCs w:val="32"/>
        </w:rPr>
        <w:t>8</w:t>
      </w:r>
      <w:r>
        <w:rPr>
          <w:rFonts w:hint="eastAsia" w:cs="仿宋_GB2312"/>
          <w:sz w:val="32"/>
          <w:szCs w:val="32"/>
        </w:rPr>
        <w:t>月</w:t>
      </w:r>
      <w:r>
        <w:rPr>
          <w:rFonts w:cs="仿宋_GB2312"/>
          <w:sz w:val="32"/>
          <w:szCs w:val="32"/>
        </w:rPr>
        <w:t>2</w:t>
      </w:r>
      <w:r>
        <w:rPr>
          <w:rFonts w:hint="eastAsia" w:cs="仿宋_GB2312"/>
          <w:sz w:val="32"/>
          <w:szCs w:val="32"/>
        </w:rPr>
        <w:t>日前</w:t>
      </w:r>
      <w:bookmarkEnd w:id="83"/>
    </w:p>
    <w:p>
      <w:pPr>
        <w:pStyle w:val="32"/>
        <w:widowControl/>
        <w:spacing w:line="560" w:lineRule="exact"/>
        <w:ind w:firstLine="640"/>
        <w:rPr>
          <w:rFonts w:cs="仿宋_GB2312"/>
          <w:sz w:val="32"/>
          <w:szCs w:val="32"/>
        </w:rPr>
      </w:pPr>
      <w:bookmarkStart w:id="84" w:name="_Toc27499"/>
      <w:r>
        <w:rPr>
          <w:rFonts w:hint="eastAsia" w:cs="仿宋_GB2312"/>
          <w:sz w:val="32"/>
          <w:szCs w:val="32"/>
        </w:rPr>
        <w:t>数据采集（202</w:t>
      </w:r>
      <w:r>
        <w:rPr>
          <w:rFonts w:cs="仿宋_GB2312"/>
          <w:sz w:val="32"/>
          <w:szCs w:val="32"/>
        </w:rPr>
        <w:t>2</w:t>
      </w:r>
      <w:r>
        <w:rPr>
          <w:rFonts w:hint="eastAsia" w:cs="仿宋_GB2312"/>
          <w:sz w:val="32"/>
          <w:szCs w:val="32"/>
        </w:rPr>
        <w:t>年</w:t>
      </w:r>
      <w:r>
        <w:rPr>
          <w:rFonts w:cs="仿宋_GB2312"/>
          <w:sz w:val="32"/>
          <w:szCs w:val="32"/>
        </w:rPr>
        <w:t>8</w:t>
      </w:r>
      <w:r>
        <w:rPr>
          <w:rFonts w:hint="eastAsia" w:cs="仿宋_GB2312"/>
          <w:sz w:val="32"/>
          <w:szCs w:val="32"/>
        </w:rPr>
        <w:t>月</w:t>
      </w:r>
      <w:r>
        <w:rPr>
          <w:rFonts w:cs="仿宋_GB2312"/>
          <w:sz w:val="32"/>
          <w:szCs w:val="32"/>
        </w:rPr>
        <w:t>2</w:t>
      </w:r>
      <w:r>
        <w:rPr>
          <w:rFonts w:hint="eastAsia" w:cs="仿宋_GB2312"/>
          <w:sz w:val="32"/>
          <w:szCs w:val="32"/>
        </w:rPr>
        <w:t>日前）。将资料需求表提交给预算主管部门，相关部门按照预算绩效管理要求填报相关数据并加盖公章。</w:t>
      </w:r>
      <w:bookmarkEnd w:id="84"/>
    </w:p>
    <w:p>
      <w:pPr>
        <w:pStyle w:val="32"/>
        <w:widowControl/>
        <w:spacing w:line="560" w:lineRule="exact"/>
        <w:ind w:firstLine="640"/>
        <w:rPr>
          <w:rFonts w:cs="仿宋_GB2312"/>
          <w:sz w:val="32"/>
          <w:szCs w:val="32"/>
        </w:rPr>
      </w:pPr>
      <w:bookmarkStart w:id="85" w:name="_Toc27071"/>
      <w:r>
        <w:rPr>
          <w:rFonts w:hint="eastAsia" w:cs="仿宋_GB2312"/>
          <w:sz w:val="32"/>
          <w:szCs w:val="32"/>
        </w:rPr>
        <w:t>线上调研（202</w:t>
      </w:r>
      <w:r>
        <w:rPr>
          <w:rFonts w:cs="仿宋_GB2312"/>
          <w:sz w:val="32"/>
          <w:szCs w:val="32"/>
        </w:rPr>
        <w:t>2</w:t>
      </w:r>
      <w:r>
        <w:rPr>
          <w:rFonts w:hint="eastAsia" w:cs="仿宋_GB2312"/>
          <w:sz w:val="32"/>
          <w:szCs w:val="32"/>
        </w:rPr>
        <w:t>年</w:t>
      </w:r>
      <w:r>
        <w:rPr>
          <w:rFonts w:cs="仿宋_GB2312"/>
          <w:sz w:val="32"/>
          <w:szCs w:val="32"/>
        </w:rPr>
        <w:t>8</w:t>
      </w:r>
      <w:r>
        <w:rPr>
          <w:rFonts w:hint="eastAsia" w:cs="仿宋_GB2312"/>
          <w:sz w:val="32"/>
          <w:szCs w:val="32"/>
        </w:rPr>
        <w:t>月</w:t>
      </w:r>
      <w:r>
        <w:rPr>
          <w:rFonts w:cs="仿宋_GB2312"/>
          <w:sz w:val="32"/>
          <w:szCs w:val="32"/>
        </w:rPr>
        <w:t>17</w:t>
      </w:r>
      <w:r>
        <w:rPr>
          <w:rFonts w:hint="eastAsia" w:cs="仿宋_GB2312"/>
          <w:sz w:val="32"/>
          <w:szCs w:val="32"/>
        </w:rPr>
        <w:t>日前）。根据社会调查方案进行满意度问卷调查和访谈工作，并对预算主管部门、实施部门填报的数据进行复核，对复核后的数据进行分析整理，并撰写形成问卷调查报告和访谈报告。</w:t>
      </w:r>
      <w:bookmarkEnd w:id="85"/>
    </w:p>
    <w:p>
      <w:pPr>
        <w:pStyle w:val="32"/>
        <w:widowControl/>
        <w:spacing w:line="560" w:lineRule="exact"/>
        <w:ind w:firstLine="640"/>
        <w:rPr>
          <w:rFonts w:cs="仿宋_GB2312"/>
          <w:sz w:val="32"/>
          <w:szCs w:val="32"/>
        </w:rPr>
      </w:pPr>
      <w:bookmarkStart w:id="86" w:name="_Toc10552"/>
      <w:r>
        <w:rPr>
          <w:rFonts w:hint="eastAsia" w:cs="仿宋_GB2312"/>
          <w:sz w:val="32"/>
          <w:szCs w:val="32"/>
        </w:rPr>
        <w:t>（</w:t>
      </w:r>
      <w:r>
        <w:rPr>
          <w:rFonts w:cs="仿宋_GB2312"/>
          <w:sz w:val="32"/>
          <w:szCs w:val="32"/>
        </w:rPr>
        <w:t>2</w:t>
      </w:r>
      <w:r>
        <w:rPr>
          <w:rFonts w:hint="eastAsia" w:cs="仿宋_GB2312"/>
          <w:sz w:val="32"/>
          <w:szCs w:val="32"/>
        </w:rPr>
        <w:t>）报告撰写阶段（202</w:t>
      </w:r>
      <w:r>
        <w:rPr>
          <w:rFonts w:cs="仿宋_GB2312"/>
          <w:sz w:val="32"/>
          <w:szCs w:val="32"/>
        </w:rPr>
        <w:t>2</w:t>
      </w:r>
      <w:r>
        <w:rPr>
          <w:rFonts w:hint="eastAsia" w:cs="仿宋_GB2312"/>
          <w:sz w:val="32"/>
          <w:szCs w:val="32"/>
        </w:rPr>
        <w:t>年8月</w:t>
      </w:r>
      <w:r>
        <w:rPr>
          <w:rFonts w:cs="仿宋_GB2312"/>
          <w:sz w:val="32"/>
          <w:szCs w:val="32"/>
        </w:rPr>
        <w:t>20</w:t>
      </w:r>
      <w:r>
        <w:rPr>
          <w:rFonts w:hint="eastAsia" w:cs="仿宋_GB2312"/>
          <w:sz w:val="32"/>
          <w:szCs w:val="32"/>
        </w:rPr>
        <w:t>日前）</w:t>
      </w:r>
      <w:bookmarkEnd w:id="86"/>
    </w:p>
    <w:p>
      <w:pPr>
        <w:pStyle w:val="32"/>
        <w:widowControl/>
        <w:spacing w:line="560" w:lineRule="exact"/>
        <w:ind w:firstLine="640"/>
        <w:rPr>
          <w:rFonts w:cs="仿宋_GB2312"/>
          <w:sz w:val="32"/>
          <w:szCs w:val="32"/>
        </w:rPr>
      </w:pPr>
      <w:bookmarkStart w:id="87" w:name="_Toc14305"/>
      <w:r>
        <w:rPr>
          <w:rFonts w:hint="eastAsia" w:cs="仿宋_GB2312"/>
          <w:sz w:val="32"/>
          <w:szCs w:val="32"/>
        </w:rPr>
        <w:t>撰写评价报告（202</w:t>
      </w:r>
      <w:r>
        <w:rPr>
          <w:rFonts w:cs="仿宋_GB2312"/>
          <w:sz w:val="32"/>
          <w:szCs w:val="32"/>
        </w:rPr>
        <w:t>2</w:t>
      </w:r>
      <w:r>
        <w:rPr>
          <w:rFonts w:hint="eastAsia" w:cs="仿宋_GB2312"/>
          <w:sz w:val="32"/>
          <w:szCs w:val="32"/>
        </w:rPr>
        <w:t>年8月</w:t>
      </w:r>
      <w:r>
        <w:rPr>
          <w:rFonts w:cs="仿宋_GB2312"/>
          <w:sz w:val="32"/>
          <w:szCs w:val="32"/>
        </w:rPr>
        <w:t>20</w:t>
      </w:r>
      <w:r>
        <w:rPr>
          <w:rFonts w:hint="eastAsia" w:cs="仿宋_GB2312"/>
          <w:sz w:val="32"/>
          <w:szCs w:val="32"/>
        </w:rPr>
        <w:t>日前）。对复核后的数据和资料进行汇总，依据评分标准对绩效指标进行评分，并形成政策评价结论。在此基础上，按照预算绩效管理要求撰写绩效评价报告。</w:t>
      </w:r>
      <w:bookmarkEnd w:id="87"/>
    </w:p>
    <w:p>
      <w:pPr>
        <w:pStyle w:val="32"/>
        <w:widowControl/>
        <w:spacing w:line="560" w:lineRule="exact"/>
        <w:ind w:firstLine="640"/>
        <w:rPr>
          <w:rFonts w:cs="仿宋_GB2312"/>
          <w:sz w:val="32"/>
          <w:szCs w:val="32"/>
        </w:rPr>
      </w:pPr>
      <w:bookmarkStart w:id="88" w:name="_Toc28508"/>
      <w:r>
        <w:rPr>
          <w:rFonts w:hint="eastAsia" w:cs="仿宋_GB2312"/>
          <w:sz w:val="32"/>
          <w:szCs w:val="32"/>
        </w:rPr>
        <w:t>报告提交（202</w:t>
      </w:r>
      <w:r>
        <w:rPr>
          <w:rFonts w:cs="仿宋_GB2312"/>
          <w:sz w:val="32"/>
          <w:szCs w:val="32"/>
        </w:rPr>
        <w:t>2</w:t>
      </w:r>
      <w:r>
        <w:rPr>
          <w:rFonts w:hint="eastAsia" w:cs="仿宋_GB2312"/>
          <w:sz w:val="32"/>
          <w:szCs w:val="32"/>
        </w:rPr>
        <w:t>年8月30日前）。撰写完成的绩效评价报告提交吐鲁番市财政局，并根据吐鲁番市财政局的安排与预算单位沟通确认。</w:t>
      </w:r>
      <w:bookmarkEnd w:id="88"/>
    </w:p>
    <w:p>
      <w:pPr>
        <w:pStyle w:val="86"/>
        <w:rPr>
          <w:b/>
        </w:rPr>
      </w:pPr>
      <w:bookmarkStart w:id="89" w:name="_Toc111833609"/>
      <w:bookmarkStart w:id="90" w:name="_Toc111753739"/>
      <w:r>
        <w:rPr>
          <w:rFonts w:hint="eastAsia"/>
        </w:rPr>
        <w:t>三、</w:t>
      </w:r>
      <w:bookmarkEnd w:id="81"/>
      <w:r>
        <w:rPr>
          <w:rFonts w:hint="eastAsia"/>
        </w:rPr>
        <w:t>评价结论</w:t>
      </w:r>
      <w:bookmarkEnd w:id="89"/>
      <w:bookmarkEnd w:id="90"/>
    </w:p>
    <w:p>
      <w:pPr>
        <w:widowControl/>
        <w:overflowPunct w:val="0"/>
        <w:autoSpaceDE w:val="0"/>
        <w:autoSpaceDN w:val="0"/>
        <w:adjustRightInd w:val="0"/>
        <w:spacing w:line="560" w:lineRule="exact"/>
        <w:ind w:firstLine="640" w:firstLineChars="200"/>
        <w:textAlignment w:val="baseline"/>
        <w:rPr>
          <w:rFonts w:ascii="Times New Roman" w:hAnsi="Times New Roman" w:eastAsia="仿宋_GB2312"/>
          <w:kern w:val="0"/>
          <w:sz w:val="32"/>
          <w:szCs w:val="32"/>
        </w:rPr>
      </w:pPr>
      <w:r>
        <w:rPr>
          <w:rFonts w:ascii="Times New Roman" w:hAnsi="Times New Roman" w:eastAsia="仿宋_GB2312"/>
          <w:kern w:val="0"/>
          <w:sz w:val="32"/>
          <w:szCs w:val="32"/>
        </w:rPr>
        <w:t>运用由评价组研发并通过</w:t>
      </w:r>
      <w:r>
        <w:rPr>
          <w:rFonts w:hint="eastAsia" w:ascii="Times New Roman" w:hAnsi="Times New Roman" w:eastAsia="仿宋_GB2312"/>
          <w:kern w:val="0"/>
          <w:sz w:val="32"/>
          <w:szCs w:val="32"/>
        </w:rPr>
        <w:t>单位确认</w:t>
      </w:r>
      <w:r>
        <w:rPr>
          <w:rFonts w:ascii="Times New Roman" w:hAnsi="Times New Roman" w:eastAsia="仿宋_GB2312"/>
          <w:kern w:val="0"/>
          <w:sz w:val="32"/>
          <w:szCs w:val="32"/>
        </w:rPr>
        <w:t>的评价指标体系及评分标准，通过基础数据填报、问卷调查和访谈获取的数据，评价组对</w:t>
      </w:r>
      <w:r>
        <w:rPr>
          <w:rFonts w:hint="eastAsia" w:ascii="Times New Roman" w:hAnsi="Times New Roman" w:eastAsia="仿宋_GB2312"/>
          <w:kern w:val="0"/>
          <w:sz w:val="32"/>
          <w:szCs w:val="32"/>
        </w:rPr>
        <w:t>《吐鲁番市“十四五”综合交通运输发展规划》编制费项目</w:t>
      </w:r>
      <w:r>
        <w:rPr>
          <w:rFonts w:ascii="Times New Roman" w:hAnsi="Times New Roman" w:eastAsia="仿宋_GB2312"/>
          <w:kern w:val="0"/>
          <w:sz w:val="32"/>
          <w:szCs w:val="32"/>
        </w:rPr>
        <w:t>进行了独立客观的评价，最终评分结果为92.6分</w:t>
      </w:r>
      <w:r>
        <w:rPr>
          <w:rFonts w:hint="eastAsia" w:ascii="Times New Roman" w:hAnsi="Times New Roman" w:eastAsia="仿宋_GB2312"/>
          <w:kern w:val="0"/>
          <w:sz w:val="32"/>
          <w:szCs w:val="32"/>
        </w:rPr>
        <w:t>，评价等级为“优”。</w:t>
      </w:r>
      <w:r>
        <w:rPr>
          <w:rFonts w:ascii="Times New Roman" w:hAnsi="Times New Roman" w:eastAsia="仿宋_GB2312"/>
          <w:kern w:val="0"/>
          <w:sz w:val="32"/>
          <w:szCs w:val="32"/>
        </w:rPr>
        <w:t>各部分得分情况详见表3-1。</w:t>
      </w:r>
      <w:r>
        <w:rPr>
          <w:rFonts w:hint="eastAsia" w:ascii="Times New Roman" w:hAnsi="Times New Roman" w:eastAsia="仿宋_GB2312"/>
          <w:kern w:val="0"/>
          <w:sz w:val="32"/>
          <w:szCs w:val="32"/>
        </w:rPr>
        <w:t>评分过程详见附件1。</w:t>
      </w:r>
    </w:p>
    <w:p>
      <w:pPr>
        <w:pStyle w:val="32"/>
        <w:spacing w:line="580" w:lineRule="exact"/>
        <w:ind w:firstLine="0" w:firstLineChars="0"/>
        <w:jc w:val="center"/>
        <w:rPr>
          <w:b/>
          <w:sz w:val="22"/>
        </w:rPr>
      </w:pPr>
      <w:r>
        <w:rPr>
          <w:rFonts w:hint="eastAsia"/>
          <w:b/>
          <w:sz w:val="22"/>
        </w:rPr>
        <w:t>表</w:t>
      </w:r>
      <w:r>
        <w:rPr>
          <w:b/>
          <w:sz w:val="22"/>
        </w:rPr>
        <w:t>3</w:t>
      </w:r>
      <w:r>
        <w:rPr>
          <w:rFonts w:hint="eastAsia"/>
          <w:b/>
          <w:sz w:val="22"/>
        </w:rPr>
        <w:t xml:space="preserve">-1 </w:t>
      </w:r>
      <w:r>
        <w:rPr>
          <w:b/>
          <w:sz w:val="22"/>
        </w:rPr>
        <w:t xml:space="preserve"> </w:t>
      </w:r>
      <w:r>
        <w:rPr>
          <w:rFonts w:hint="eastAsia"/>
          <w:b/>
          <w:sz w:val="22"/>
        </w:rPr>
        <w:t>项目指标得分情况汇总表</w:t>
      </w:r>
    </w:p>
    <w:tbl>
      <w:tblPr>
        <w:tblStyle w:val="13"/>
        <w:tblW w:w="8647" w:type="dxa"/>
        <w:tblInd w:w="108" w:type="dxa"/>
        <w:tblLayout w:type="fixed"/>
        <w:tblCellMar>
          <w:top w:w="0" w:type="dxa"/>
          <w:left w:w="108" w:type="dxa"/>
          <w:bottom w:w="0" w:type="dxa"/>
          <w:right w:w="108" w:type="dxa"/>
        </w:tblCellMar>
      </w:tblPr>
      <w:tblGrid>
        <w:gridCol w:w="2567"/>
        <w:gridCol w:w="2168"/>
        <w:gridCol w:w="1860"/>
        <w:gridCol w:w="2052"/>
      </w:tblGrid>
      <w:tr>
        <w:tblPrEx>
          <w:tblCellMar>
            <w:top w:w="0" w:type="dxa"/>
            <w:left w:w="108" w:type="dxa"/>
            <w:bottom w:w="0" w:type="dxa"/>
            <w:right w:w="108" w:type="dxa"/>
          </w:tblCellMar>
        </w:tblPrEx>
        <w:trPr>
          <w:trHeight w:val="397" w:hRule="atLeast"/>
          <w:tblHeader/>
        </w:trPr>
        <w:tc>
          <w:tcPr>
            <w:tcW w:w="2567" w:type="dxa"/>
            <w:tcBorders>
              <w:top w:val="single" w:color="auto" w:sz="4" w:space="0"/>
              <w:left w:val="single" w:color="auto" w:sz="4" w:space="0"/>
              <w:bottom w:val="single" w:color="auto" w:sz="4" w:space="0"/>
              <w:right w:val="single" w:color="auto" w:sz="4" w:space="0"/>
            </w:tcBorders>
            <w:shd w:val="clear" w:color="000000" w:fill="BFBFBF"/>
            <w:vAlign w:val="center"/>
          </w:tcPr>
          <w:p>
            <w:pPr>
              <w:jc w:val="center"/>
              <w:rPr>
                <w:rFonts w:ascii="Times New Roman" w:hAnsi="Times New Roman" w:eastAsia="仿宋_GB2312"/>
                <w:b/>
                <w:bCs/>
                <w:sz w:val="22"/>
              </w:rPr>
            </w:pPr>
            <w:r>
              <w:rPr>
                <w:rFonts w:hint="eastAsia" w:ascii="Times New Roman" w:hAnsi="Times New Roman" w:eastAsia="仿宋_GB2312"/>
                <w:b/>
                <w:bCs/>
                <w:sz w:val="22"/>
              </w:rPr>
              <w:t>一级指标</w:t>
            </w:r>
          </w:p>
        </w:tc>
        <w:tc>
          <w:tcPr>
            <w:tcW w:w="2168" w:type="dxa"/>
            <w:tcBorders>
              <w:top w:val="single" w:color="auto" w:sz="4" w:space="0"/>
              <w:left w:val="nil"/>
              <w:bottom w:val="single" w:color="auto" w:sz="4" w:space="0"/>
              <w:right w:val="single" w:color="auto" w:sz="4" w:space="0"/>
            </w:tcBorders>
            <w:shd w:val="clear" w:color="000000" w:fill="BFBFBF"/>
            <w:vAlign w:val="center"/>
          </w:tcPr>
          <w:p>
            <w:pPr>
              <w:jc w:val="center"/>
              <w:rPr>
                <w:rFonts w:ascii="Times New Roman" w:hAnsi="Times New Roman" w:eastAsia="仿宋_GB2312"/>
                <w:b/>
                <w:bCs/>
                <w:sz w:val="22"/>
              </w:rPr>
            </w:pPr>
            <w:r>
              <w:rPr>
                <w:rFonts w:hint="eastAsia" w:ascii="Times New Roman" w:hAnsi="Times New Roman" w:eastAsia="仿宋_GB2312"/>
                <w:b/>
                <w:bCs/>
                <w:sz w:val="22"/>
              </w:rPr>
              <w:t>权重分</w:t>
            </w:r>
          </w:p>
        </w:tc>
        <w:tc>
          <w:tcPr>
            <w:tcW w:w="1860" w:type="dxa"/>
            <w:tcBorders>
              <w:top w:val="single" w:color="auto" w:sz="4" w:space="0"/>
              <w:left w:val="nil"/>
              <w:bottom w:val="single" w:color="auto" w:sz="4" w:space="0"/>
              <w:right w:val="single" w:color="auto" w:sz="4" w:space="0"/>
            </w:tcBorders>
            <w:shd w:val="clear" w:color="000000" w:fill="BFBFBF"/>
            <w:vAlign w:val="center"/>
          </w:tcPr>
          <w:p>
            <w:pPr>
              <w:jc w:val="center"/>
              <w:rPr>
                <w:rFonts w:ascii="Times New Roman" w:hAnsi="Times New Roman" w:eastAsia="仿宋_GB2312"/>
                <w:b/>
                <w:bCs/>
                <w:sz w:val="22"/>
              </w:rPr>
            </w:pPr>
            <w:r>
              <w:rPr>
                <w:rFonts w:hint="eastAsia" w:ascii="Times New Roman" w:hAnsi="Times New Roman" w:eastAsia="仿宋_GB2312"/>
                <w:b/>
                <w:bCs/>
                <w:sz w:val="22"/>
              </w:rPr>
              <w:t>得分</w:t>
            </w:r>
          </w:p>
        </w:tc>
        <w:tc>
          <w:tcPr>
            <w:tcW w:w="2052" w:type="dxa"/>
            <w:tcBorders>
              <w:top w:val="single" w:color="auto" w:sz="4" w:space="0"/>
              <w:left w:val="nil"/>
              <w:bottom w:val="single" w:color="auto" w:sz="4" w:space="0"/>
              <w:right w:val="single" w:color="auto" w:sz="4" w:space="0"/>
            </w:tcBorders>
            <w:shd w:val="clear" w:color="000000" w:fill="BFBFBF"/>
            <w:vAlign w:val="center"/>
          </w:tcPr>
          <w:p>
            <w:pPr>
              <w:jc w:val="center"/>
              <w:rPr>
                <w:rFonts w:ascii="Times New Roman" w:hAnsi="Times New Roman" w:eastAsia="仿宋_GB2312"/>
                <w:b/>
                <w:bCs/>
                <w:sz w:val="22"/>
              </w:rPr>
            </w:pPr>
            <w:r>
              <w:rPr>
                <w:rFonts w:hint="eastAsia" w:ascii="Times New Roman" w:hAnsi="Times New Roman" w:eastAsia="仿宋_GB2312"/>
                <w:b/>
                <w:bCs/>
                <w:sz w:val="22"/>
              </w:rPr>
              <w:t>得分率</w:t>
            </w:r>
          </w:p>
        </w:tc>
      </w:tr>
      <w:tr>
        <w:tblPrEx>
          <w:tblCellMar>
            <w:top w:w="0" w:type="dxa"/>
            <w:left w:w="108" w:type="dxa"/>
            <w:bottom w:w="0" w:type="dxa"/>
            <w:right w:w="108" w:type="dxa"/>
          </w:tblCellMar>
        </w:tblPrEx>
        <w:trPr>
          <w:trHeight w:val="397" w:hRule="atLeast"/>
        </w:trPr>
        <w:tc>
          <w:tcPr>
            <w:tcW w:w="2567"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sz w:val="22"/>
              </w:rPr>
            </w:pPr>
            <w:r>
              <w:rPr>
                <w:rFonts w:hint="eastAsia" w:ascii="Times New Roman" w:hAnsi="Times New Roman" w:eastAsia="仿宋_GB2312"/>
                <w:sz w:val="22"/>
              </w:rPr>
              <w:t>项目决策</w:t>
            </w:r>
          </w:p>
        </w:tc>
        <w:tc>
          <w:tcPr>
            <w:tcW w:w="2168"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2"/>
              </w:rPr>
            </w:pPr>
            <w:r>
              <w:rPr>
                <w:rFonts w:hint="eastAsia" w:ascii="Times New Roman" w:hAnsi="Times New Roman" w:eastAsia="仿宋_GB2312"/>
                <w:sz w:val="22"/>
              </w:rPr>
              <w:t>12</w:t>
            </w:r>
          </w:p>
        </w:tc>
        <w:tc>
          <w:tcPr>
            <w:tcW w:w="1860"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2"/>
              </w:rPr>
            </w:pPr>
            <w:r>
              <w:rPr>
                <w:rFonts w:ascii="Times New Roman" w:hAnsi="Times New Roman" w:eastAsia="仿宋_GB2312"/>
                <w:sz w:val="22"/>
              </w:rPr>
              <w:t>9.6</w:t>
            </w:r>
          </w:p>
        </w:tc>
        <w:tc>
          <w:tcPr>
            <w:tcW w:w="205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sz w:val="22"/>
              </w:rPr>
            </w:pPr>
            <w:r>
              <w:rPr>
                <w:rFonts w:ascii="Times New Roman" w:hAnsi="Times New Roman" w:eastAsia="仿宋_GB2312"/>
                <w:sz w:val="22"/>
              </w:rPr>
              <w:t>80.00</w:t>
            </w:r>
            <w:r>
              <w:rPr>
                <w:rFonts w:hint="eastAsia" w:ascii="Times New Roman" w:hAnsi="Times New Roman" w:eastAsia="仿宋_GB2312"/>
                <w:sz w:val="22"/>
              </w:rPr>
              <w:t>%</w:t>
            </w:r>
          </w:p>
        </w:tc>
      </w:tr>
      <w:tr>
        <w:tblPrEx>
          <w:tblCellMar>
            <w:top w:w="0" w:type="dxa"/>
            <w:left w:w="108" w:type="dxa"/>
            <w:bottom w:w="0" w:type="dxa"/>
            <w:right w:w="108" w:type="dxa"/>
          </w:tblCellMar>
        </w:tblPrEx>
        <w:trPr>
          <w:trHeight w:val="397" w:hRule="atLeast"/>
        </w:trPr>
        <w:tc>
          <w:tcPr>
            <w:tcW w:w="2567"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sz w:val="22"/>
              </w:rPr>
            </w:pPr>
            <w:r>
              <w:rPr>
                <w:rFonts w:hint="eastAsia" w:ascii="Times New Roman" w:hAnsi="Times New Roman" w:eastAsia="仿宋_GB2312"/>
                <w:sz w:val="22"/>
              </w:rPr>
              <w:t>项目管理</w:t>
            </w:r>
          </w:p>
        </w:tc>
        <w:tc>
          <w:tcPr>
            <w:tcW w:w="2168"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2"/>
              </w:rPr>
            </w:pPr>
            <w:r>
              <w:rPr>
                <w:rFonts w:hint="eastAsia" w:ascii="Times New Roman" w:hAnsi="Times New Roman" w:eastAsia="仿宋_GB2312"/>
                <w:sz w:val="22"/>
              </w:rPr>
              <w:t>25</w:t>
            </w:r>
          </w:p>
        </w:tc>
        <w:tc>
          <w:tcPr>
            <w:tcW w:w="1860"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2"/>
              </w:rPr>
            </w:pPr>
            <w:r>
              <w:rPr>
                <w:rFonts w:ascii="Times New Roman" w:hAnsi="Times New Roman" w:eastAsia="仿宋_GB2312"/>
                <w:sz w:val="22"/>
              </w:rPr>
              <w:t>25</w:t>
            </w:r>
          </w:p>
        </w:tc>
        <w:tc>
          <w:tcPr>
            <w:tcW w:w="205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sz w:val="22"/>
              </w:rPr>
            </w:pPr>
            <w:r>
              <w:rPr>
                <w:rFonts w:ascii="Times New Roman" w:hAnsi="Times New Roman" w:eastAsia="仿宋_GB2312"/>
                <w:sz w:val="22"/>
              </w:rPr>
              <w:t>100.00</w:t>
            </w:r>
            <w:r>
              <w:rPr>
                <w:rFonts w:hint="eastAsia" w:ascii="Times New Roman" w:hAnsi="Times New Roman" w:eastAsia="仿宋_GB2312"/>
                <w:sz w:val="22"/>
              </w:rPr>
              <w:t>%</w:t>
            </w:r>
          </w:p>
        </w:tc>
      </w:tr>
      <w:tr>
        <w:tblPrEx>
          <w:tblCellMar>
            <w:top w:w="0" w:type="dxa"/>
            <w:left w:w="108" w:type="dxa"/>
            <w:bottom w:w="0" w:type="dxa"/>
            <w:right w:w="108" w:type="dxa"/>
          </w:tblCellMar>
        </w:tblPrEx>
        <w:trPr>
          <w:trHeight w:val="397" w:hRule="atLeast"/>
        </w:trPr>
        <w:tc>
          <w:tcPr>
            <w:tcW w:w="2567"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sz w:val="22"/>
              </w:rPr>
            </w:pPr>
            <w:r>
              <w:rPr>
                <w:rFonts w:hint="eastAsia" w:ascii="Times New Roman" w:hAnsi="Times New Roman" w:eastAsia="仿宋_GB2312"/>
                <w:sz w:val="22"/>
              </w:rPr>
              <w:t>项目绩效</w:t>
            </w:r>
          </w:p>
        </w:tc>
        <w:tc>
          <w:tcPr>
            <w:tcW w:w="2168"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2"/>
              </w:rPr>
            </w:pPr>
            <w:r>
              <w:rPr>
                <w:rFonts w:ascii="Times New Roman" w:hAnsi="Times New Roman" w:eastAsia="仿宋_GB2312"/>
                <w:sz w:val="22"/>
              </w:rPr>
              <w:t>55</w:t>
            </w:r>
          </w:p>
        </w:tc>
        <w:tc>
          <w:tcPr>
            <w:tcW w:w="1860"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2"/>
              </w:rPr>
            </w:pPr>
            <w:r>
              <w:rPr>
                <w:rFonts w:ascii="Times New Roman" w:hAnsi="Times New Roman" w:eastAsia="仿宋_GB2312"/>
                <w:sz w:val="22"/>
              </w:rPr>
              <w:t>50</w:t>
            </w:r>
          </w:p>
        </w:tc>
        <w:tc>
          <w:tcPr>
            <w:tcW w:w="205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sz w:val="22"/>
              </w:rPr>
            </w:pPr>
            <w:r>
              <w:rPr>
                <w:rFonts w:ascii="Times New Roman" w:hAnsi="Times New Roman" w:eastAsia="仿宋_GB2312"/>
                <w:sz w:val="22"/>
              </w:rPr>
              <w:t>90.91</w:t>
            </w:r>
            <w:r>
              <w:rPr>
                <w:rFonts w:hint="eastAsia" w:ascii="Times New Roman" w:hAnsi="Times New Roman" w:eastAsia="仿宋_GB2312"/>
                <w:sz w:val="22"/>
              </w:rPr>
              <w:t>%</w:t>
            </w:r>
          </w:p>
        </w:tc>
      </w:tr>
      <w:tr>
        <w:tblPrEx>
          <w:tblCellMar>
            <w:top w:w="0" w:type="dxa"/>
            <w:left w:w="108" w:type="dxa"/>
            <w:bottom w:w="0" w:type="dxa"/>
            <w:right w:w="108" w:type="dxa"/>
          </w:tblCellMar>
        </w:tblPrEx>
        <w:trPr>
          <w:trHeight w:val="397" w:hRule="atLeast"/>
        </w:trPr>
        <w:tc>
          <w:tcPr>
            <w:tcW w:w="2567"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sz w:val="22"/>
              </w:rPr>
            </w:pPr>
            <w:r>
              <w:rPr>
                <w:rFonts w:hint="eastAsia" w:ascii="Times New Roman" w:hAnsi="Times New Roman" w:eastAsia="仿宋_GB2312"/>
                <w:sz w:val="22"/>
              </w:rPr>
              <w:t>满意度</w:t>
            </w:r>
          </w:p>
        </w:tc>
        <w:tc>
          <w:tcPr>
            <w:tcW w:w="2168"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2"/>
              </w:rPr>
            </w:pPr>
            <w:r>
              <w:rPr>
                <w:rFonts w:ascii="Times New Roman" w:hAnsi="Times New Roman" w:eastAsia="仿宋_GB2312"/>
                <w:sz w:val="22"/>
              </w:rPr>
              <w:t>8</w:t>
            </w:r>
          </w:p>
        </w:tc>
        <w:tc>
          <w:tcPr>
            <w:tcW w:w="1860"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2"/>
              </w:rPr>
            </w:pPr>
            <w:r>
              <w:rPr>
                <w:rFonts w:ascii="Times New Roman" w:hAnsi="Times New Roman" w:eastAsia="仿宋_GB2312"/>
                <w:sz w:val="22"/>
              </w:rPr>
              <w:t>8</w:t>
            </w:r>
          </w:p>
        </w:tc>
        <w:tc>
          <w:tcPr>
            <w:tcW w:w="2052" w:type="dxa"/>
            <w:tcBorders>
              <w:top w:val="nil"/>
              <w:left w:val="nil"/>
              <w:bottom w:val="single" w:color="auto" w:sz="4" w:space="0"/>
              <w:right w:val="single" w:color="auto" w:sz="4" w:space="0"/>
            </w:tcBorders>
            <w:vAlign w:val="center"/>
          </w:tcPr>
          <w:p>
            <w:pPr>
              <w:widowControl/>
              <w:jc w:val="center"/>
              <w:rPr>
                <w:rFonts w:ascii="Times New Roman" w:hAnsi="Times New Roman"/>
                <w:sz w:val="22"/>
              </w:rPr>
            </w:pPr>
            <w:r>
              <w:rPr>
                <w:rFonts w:hint="eastAsia" w:ascii="Times New Roman" w:hAnsi="Times New Roman"/>
                <w:sz w:val="22"/>
              </w:rPr>
              <w:t>100</w:t>
            </w:r>
            <w:r>
              <w:rPr>
                <w:rFonts w:ascii="Times New Roman" w:hAnsi="Times New Roman"/>
                <w:sz w:val="22"/>
              </w:rPr>
              <w:t>.00</w:t>
            </w:r>
            <w:r>
              <w:rPr>
                <w:rFonts w:hint="eastAsia" w:ascii="Times New Roman" w:hAnsi="Times New Roman"/>
                <w:sz w:val="22"/>
              </w:rPr>
              <w:t>%</w:t>
            </w:r>
          </w:p>
        </w:tc>
      </w:tr>
      <w:tr>
        <w:tblPrEx>
          <w:tblCellMar>
            <w:top w:w="0" w:type="dxa"/>
            <w:left w:w="108" w:type="dxa"/>
            <w:bottom w:w="0" w:type="dxa"/>
            <w:right w:w="108" w:type="dxa"/>
          </w:tblCellMar>
        </w:tblPrEx>
        <w:trPr>
          <w:trHeight w:val="397" w:hRule="atLeast"/>
        </w:trPr>
        <w:tc>
          <w:tcPr>
            <w:tcW w:w="2567"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宋体"/>
                <w:b/>
                <w:bCs/>
                <w:sz w:val="22"/>
              </w:rPr>
            </w:pPr>
            <w:r>
              <w:rPr>
                <w:rFonts w:hint="eastAsia" w:ascii="Times New Roman" w:hAnsi="Times New Roman" w:eastAsia="仿宋_GB2312" w:cs="宋体"/>
                <w:b/>
                <w:bCs/>
                <w:sz w:val="22"/>
              </w:rPr>
              <w:t>合计</w:t>
            </w:r>
          </w:p>
        </w:tc>
        <w:tc>
          <w:tcPr>
            <w:tcW w:w="2168" w:type="dxa"/>
            <w:tcBorders>
              <w:top w:val="nil"/>
              <w:left w:val="nil"/>
              <w:bottom w:val="single" w:color="auto" w:sz="4" w:space="0"/>
              <w:right w:val="single" w:color="auto" w:sz="4" w:space="0"/>
            </w:tcBorders>
            <w:vAlign w:val="center"/>
          </w:tcPr>
          <w:p>
            <w:pPr>
              <w:jc w:val="center"/>
              <w:rPr>
                <w:rFonts w:ascii="Times New Roman" w:hAnsi="Times New Roman" w:eastAsia="仿宋_GB2312"/>
                <w:b/>
                <w:bCs/>
                <w:sz w:val="22"/>
              </w:rPr>
            </w:pPr>
            <w:r>
              <w:rPr>
                <w:rFonts w:ascii="Times New Roman" w:hAnsi="Times New Roman" w:eastAsia="仿宋_GB2312"/>
                <w:b/>
                <w:bCs/>
                <w:sz w:val="22"/>
              </w:rPr>
              <w:t>100</w:t>
            </w:r>
          </w:p>
        </w:tc>
        <w:tc>
          <w:tcPr>
            <w:tcW w:w="1860" w:type="dxa"/>
            <w:tcBorders>
              <w:top w:val="nil"/>
              <w:left w:val="nil"/>
              <w:bottom w:val="single" w:color="auto" w:sz="4" w:space="0"/>
              <w:right w:val="single" w:color="auto" w:sz="4" w:space="0"/>
            </w:tcBorders>
            <w:vAlign w:val="center"/>
          </w:tcPr>
          <w:p>
            <w:pPr>
              <w:jc w:val="center"/>
              <w:rPr>
                <w:rFonts w:ascii="Times New Roman" w:hAnsi="Times New Roman" w:eastAsia="仿宋_GB2312"/>
                <w:b/>
                <w:bCs/>
                <w:sz w:val="22"/>
              </w:rPr>
            </w:pPr>
            <w:r>
              <w:rPr>
                <w:rFonts w:ascii="Times New Roman" w:hAnsi="Times New Roman" w:eastAsia="仿宋_GB2312"/>
                <w:b/>
                <w:bCs/>
                <w:sz w:val="22"/>
              </w:rPr>
              <w:t>92.</w:t>
            </w:r>
            <w:r>
              <w:rPr>
                <w:rFonts w:hint="eastAsia" w:ascii="Times New Roman" w:hAnsi="Times New Roman" w:eastAsia="仿宋_GB2312"/>
                <w:b/>
                <w:bCs/>
                <w:sz w:val="22"/>
              </w:rPr>
              <w:t>6</w:t>
            </w:r>
          </w:p>
        </w:tc>
        <w:tc>
          <w:tcPr>
            <w:tcW w:w="2052"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2"/>
              </w:rPr>
            </w:pPr>
            <w:r>
              <w:rPr>
                <w:rFonts w:ascii="Times New Roman" w:hAnsi="Times New Roman" w:eastAsia="仿宋_GB2312"/>
                <w:b/>
                <w:bCs/>
                <w:sz w:val="22"/>
              </w:rPr>
              <w:t>92.60</w:t>
            </w:r>
            <w:r>
              <w:rPr>
                <w:rFonts w:hint="eastAsia" w:ascii="Times New Roman" w:hAnsi="Times New Roman" w:eastAsia="仿宋_GB2312"/>
                <w:b/>
                <w:bCs/>
                <w:sz w:val="22"/>
              </w:rPr>
              <w:t>%</w:t>
            </w:r>
          </w:p>
        </w:tc>
      </w:tr>
    </w:tbl>
    <w:p>
      <w:pPr>
        <w:widowControl/>
        <w:overflowPunct w:val="0"/>
        <w:autoSpaceDE w:val="0"/>
        <w:autoSpaceDN w:val="0"/>
        <w:adjustRightInd w:val="0"/>
        <w:spacing w:line="580" w:lineRule="exact"/>
        <w:ind w:firstLine="1134"/>
        <w:textAlignment w:val="baseline"/>
        <w:rPr>
          <w:rFonts w:ascii="Times New Roman" w:hAnsi="Times New Roman" w:eastAsia="仿宋_GB2312"/>
          <w:kern w:val="0"/>
          <w:sz w:val="32"/>
          <w:szCs w:val="32"/>
        </w:rPr>
      </w:pPr>
      <w:r>
        <w:rPr>
          <w:rFonts w:hint="eastAsia" w:ascii="Times New Roman" w:hAnsi="Times New Roman" w:eastAsia="仿宋_GB2312"/>
          <w:kern w:val="0"/>
          <w:sz w:val="32"/>
          <w:szCs w:val="32"/>
        </w:rPr>
        <w:t>各项指标得分情况见下表</w:t>
      </w:r>
      <w:r>
        <w:rPr>
          <w:rFonts w:ascii="Times New Roman" w:hAnsi="Times New Roman" w:eastAsia="仿宋_GB2312"/>
          <w:kern w:val="0"/>
          <w:sz w:val="32"/>
          <w:szCs w:val="32"/>
        </w:rPr>
        <w:t>3</w:t>
      </w:r>
      <w:r>
        <w:rPr>
          <w:rFonts w:hint="eastAsia" w:ascii="Times New Roman" w:hAnsi="Times New Roman" w:eastAsia="仿宋_GB2312"/>
          <w:kern w:val="0"/>
          <w:sz w:val="32"/>
          <w:szCs w:val="32"/>
        </w:rPr>
        <w:t>-2：</w:t>
      </w:r>
    </w:p>
    <w:p>
      <w:pPr>
        <w:pStyle w:val="32"/>
        <w:spacing w:line="580" w:lineRule="exact"/>
        <w:ind w:firstLine="0" w:firstLineChars="0"/>
        <w:jc w:val="center"/>
        <w:rPr>
          <w:b/>
          <w:sz w:val="22"/>
        </w:rPr>
      </w:pPr>
      <w:r>
        <w:rPr>
          <w:rFonts w:hint="eastAsia"/>
          <w:b/>
          <w:sz w:val="22"/>
        </w:rPr>
        <w:t>表</w:t>
      </w:r>
      <w:r>
        <w:rPr>
          <w:b/>
          <w:sz w:val="22"/>
        </w:rPr>
        <w:t>3</w:t>
      </w:r>
      <w:r>
        <w:rPr>
          <w:rFonts w:hint="eastAsia"/>
          <w:b/>
          <w:sz w:val="22"/>
        </w:rPr>
        <w:t xml:space="preserve">-2 </w:t>
      </w:r>
      <w:r>
        <w:rPr>
          <w:b/>
          <w:sz w:val="22"/>
        </w:rPr>
        <w:t xml:space="preserve"> </w:t>
      </w:r>
      <w:r>
        <w:rPr>
          <w:rFonts w:hint="eastAsia"/>
          <w:b/>
          <w:sz w:val="22"/>
        </w:rPr>
        <w:t>项目指标得分表</w:t>
      </w:r>
    </w:p>
    <w:bookmarkEnd w:id="77"/>
    <w:bookmarkEnd w:id="82"/>
    <w:tbl>
      <w:tblPr>
        <w:tblStyle w:val="13"/>
        <w:tblW w:w="4898" w:type="pct"/>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171"/>
        <w:gridCol w:w="1468"/>
        <w:gridCol w:w="719"/>
        <w:gridCol w:w="1017"/>
        <w:gridCol w:w="1018"/>
        <w:gridCol w:w="1163"/>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33" w:type="pct"/>
            <w:shd w:val="clear" w:color="000000" w:fill="BEBEBE"/>
            <w:vAlign w:val="center"/>
          </w:tcPr>
          <w:p>
            <w:pPr>
              <w:widowControl/>
              <w:jc w:val="center"/>
              <w:rPr>
                <w:rFonts w:ascii="仿宋_GB2312" w:hAnsi="等线" w:eastAsia="仿宋_GB2312" w:cs="宋体"/>
                <w:b/>
                <w:bCs/>
                <w:color w:val="000000"/>
                <w:kern w:val="0"/>
                <w:sz w:val="22"/>
                <w:szCs w:val="22"/>
              </w:rPr>
            </w:pPr>
            <w:bookmarkStart w:id="91" w:name="_Toc9442"/>
            <w:bookmarkStart w:id="92" w:name="_Toc30163847"/>
            <w:bookmarkStart w:id="93" w:name="_Hlk30021100"/>
            <w:r>
              <w:rPr>
                <w:rFonts w:hint="eastAsia" w:ascii="仿宋_GB2312" w:hAnsi="等线" w:eastAsia="仿宋_GB2312" w:cs="宋体"/>
                <w:b/>
                <w:bCs/>
                <w:color w:val="000000"/>
                <w:kern w:val="0"/>
                <w:sz w:val="22"/>
                <w:szCs w:val="22"/>
              </w:rPr>
              <w:t>一级指标</w:t>
            </w:r>
          </w:p>
        </w:tc>
        <w:tc>
          <w:tcPr>
            <w:tcW w:w="660" w:type="pct"/>
            <w:shd w:val="clear" w:color="000000" w:fill="BEBEBE"/>
            <w:vAlign w:val="center"/>
          </w:tcPr>
          <w:p>
            <w:pPr>
              <w:widowControl/>
              <w:rPr>
                <w:rFonts w:ascii="仿宋_GB2312" w:hAnsi="等线" w:eastAsia="仿宋_GB2312" w:cs="宋体"/>
                <w:b/>
                <w:bCs/>
                <w:color w:val="000000"/>
                <w:kern w:val="0"/>
                <w:sz w:val="22"/>
                <w:szCs w:val="22"/>
              </w:rPr>
            </w:pPr>
            <w:r>
              <w:rPr>
                <w:rFonts w:hint="eastAsia" w:ascii="仿宋_GB2312" w:hAnsi="等线" w:eastAsia="仿宋_GB2312" w:cs="宋体"/>
                <w:b/>
                <w:bCs/>
                <w:color w:val="000000"/>
                <w:kern w:val="0"/>
                <w:sz w:val="22"/>
                <w:szCs w:val="22"/>
              </w:rPr>
              <w:t>二级指标</w:t>
            </w:r>
          </w:p>
        </w:tc>
        <w:tc>
          <w:tcPr>
            <w:tcW w:w="827" w:type="pct"/>
            <w:shd w:val="clear" w:color="000000" w:fill="BEBEBE"/>
            <w:vAlign w:val="center"/>
          </w:tcPr>
          <w:p>
            <w:pPr>
              <w:widowControl/>
              <w:jc w:val="center"/>
              <w:rPr>
                <w:rFonts w:ascii="仿宋_GB2312" w:hAnsi="等线" w:eastAsia="仿宋_GB2312" w:cs="宋体"/>
                <w:b/>
                <w:bCs/>
                <w:color w:val="000000"/>
                <w:kern w:val="0"/>
                <w:sz w:val="22"/>
                <w:szCs w:val="22"/>
              </w:rPr>
            </w:pPr>
            <w:r>
              <w:rPr>
                <w:rFonts w:hint="eastAsia" w:ascii="仿宋_GB2312" w:hAnsi="等线" w:eastAsia="仿宋_GB2312" w:cs="宋体"/>
                <w:b/>
                <w:bCs/>
                <w:color w:val="000000"/>
                <w:kern w:val="0"/>
                <w:sz w:val="22"/>
                <w:szCs w:val="22"/>
              </w:rPr>
              <w:t>三级指标</w:t>
            </w:r>
          </w:p>
        </w:tc>
        <w:tc>
          <w:tcPr>
            <w:tcW w:w="405" w:type="pct"/>
            <w:shd w:val="clear" w:color="000000" w:fill="BEBEBE"/>
            <w:vAlign w:val="center"/>
          </w:tcPr>
          <w:p>
            <w:pPr>
              <w:widowControl/>
              <w:jc w:val="center"/>
              <w:rPr>
                <w:rFonts w:ascii="仿宋_GB2312" w:hAnsi="等线" w:eastAsia="仿宋_GB2312" w:cs="宋体"/>
                <w:b/>
                <w:bCs/>
                <w:color w:val="000000"/>
                <w:kern w:val="0"/>
                <w:sz w:val="22"/>
                <w:szCs w:val="22"/>
              </w:rPr>
            </w:pPr>
            <w:r>
              <w:rPr>
                <w:rFonts w:hint="eastAsia" w:ascii="仿宋_GB2312" w:hAnsi="等线" w:eastAsia="仿宋_GB2312" w:cs="宋体"/>
                <w:b/>
                <w:bCs/>
                <w:color w:val="000000"/>
                <w:kern w:val="0"/>
                <w:sz w:val="22"/>
                <w:szCs w:val="22"/>
              </w:rPr>
              <w:t>权重</w:t>
            </w:r>
          </w:p>
        </w:tc>
        <w:tc>
          <w:tcPr>
            <w:tcW w:w="573" w:type="pct"/>
            <w:shd w:val="clear" w:color="000000" w:fill="BEBEBE"/>
            <w:vAlign w:val="center"/>
          </w:tcPr>
          <w:p>
            <w:pPr>
              <w:widowControl/>
              <w:jc w:val="center"/>
              <w:rPr>
                <w:rFonts w:ascii="仿宋_GB2312" w:hAnsi="等线" w:eastAsia="仿宋_GB2312" w:cs="宋体"/>
                <w:b/>
                <w:bCs/>
                <w:color w:val="000000"/>
                <w:kern w:val="0"/>
                <w:sz w:val="22"/>
                <w:szCs w:val="22"/>
              </w:rPr>
            </w:pPr>
            <w:r>
              <w:rPr>
                <w:rFonts w:hint="eastAsia" w:ascii="仿宋_GB2312" w:hAnsi="等线" w:eastAsia="仿宋_GB2312" w:cs="宋体"/>
                <w:b/>
                <w:bCs/>
                <w:color w:val="000000"/>
                <w:kern w:val="0"/>
                <w:sz w:val="22"/>
                <w:szCs w:val="22"/>
              </w:rPr>
              <w:t>标杆值</w:t>
            </w:r>
          </w:p>
        </w:tc>
        <w:tc>
          <w:tcPr>
            <w:tcW w:w="574" w:type="pct"/>
            <w:shd w:val="clear" w:color="000000" w:fill="BEBEBE"/>
            <w:vAlign w:val="center"/>
          </w:tcPr>
          <w:p>
            <w:pPr>
              <w:widowControl/>
              <w:jc w:val="center"/>
              <w:rPr>
                <w:rFonts w:ascii="仿宋_GB2312" w:hAnsi="等线" w:eastAsia="仿宋_GB2312" w:cs="宋体"/>
                <w:b/>
                <w:bCs/>
                <w:color w:val="000000"/>
                <w:kern w:val="0"/>
                <w:sz w:val="22"/>
                <w:szCs w:val="22"/>
              </w:rPr>
            </w:pPr>
            <w:r>
              <w:rPr>
                <w:rFonts w:hint="eastAsia" w:ascii="仿宋_GB2312" w:hAnsi="等线" w:eastAsia="仿宋_GB2312" w:cs="宋体"/>
                <w:b/>
                <w:bCs/>
                <w:color w:val="000000"/>
                <w:kern w:val="0"/>
                <w:sz w:val="22"/>
                <w:szCs w:val="22"/>
              </w:rPr>
              <w:t>业绩值</w:t>
            </w:r>
          </w:p>
        </w:tc>
        <w:tc>
          <w:tcPr>
            <w:tcW w:w="655" w:type="pct"/>
            <w:shd w:val="clear" w:color="000000" w:fill="BEBEBE"/>
            <w:vAlign w:val="center"/>
          </w:tcPr>
          <w:p>
            <w:pPr>
              <w:widowControl/>
              <w:jc w:val="center"/>
              <w:rPr>
                <w:rFonts w:ascii="仿宋_GB2312" w:hAnsi="等线" w:eastAsia="仿宋_GB2312" w:cs="宋体"/>
                <w:b/>
                <w:bCs/>
                <w:color w:val="000000"/>
                <w:kern w:val="0"/>
                <w:sz w:val="22"/>
                <w:szCs w:val="22"/>
              </w:rPr>
            </w:pPr>
            <w:r>
              <w:rPr>
                <w:rFonts w:hint="eastAsia" w:ascii="仿宋_GB2312" w:hAnsi="等线" w:eastAsia="仿宋_GB2312" w:cs="宋体"/>
                <w:b/>
                <w:bCs/>
                <w:color w:val="000000"/>
                <w:kern w:val="0"/>
                <w:sz w:val="22"/>
                <w:szCs w:val="22"/>
              </w:rPr>
              <w:t>实际得分</w:t>
            </w:r>
          </w:p>
        </w:tc>
        <w:tc>
          <w:tcPr>
            <w:tcW w:w="573" w:type="pct"/>
            <w:shd w:val="clear" w:color="000000" w:fill="BEBEBE"/>
            <w:vAlign w:val="center"/>
          </w:tcPr>
          <w:p>
            <w:pPr>
              <w:widowControl/>
              <w:jc w:val="center"/>
              <w:rPr>
                <w:rFonts w:ascii="仿宋_GB2312" w:hAnsi="等线" w:eastAsia="仿宋_GB2312" w:cs="宋体"/>
                <w:b/>
                <w:bCs/>
                <w:color w:val="000000"/>
                <w:kern w:val="0"/>
                <w:sz w:val="22"/>
                <w:szCs w:val="22"/>
              </w:rPr>
            </w:pPr>
            <w:r>
              <w:rPr>
                <w:rFonts w:hint="eastAsia" w:ascii="仿宋_GB2312" w:hAnsi="等线" w:eastAsia="仿宋_GB2312" w:cs="宋体"/>
                <w:b/>
                <w:bCs/>
                <w:color w:val="000000"/>
                <w:kern w:val="0"/>
                <w:sz w:val="22"/>
                <w:szCs w:val="22"/>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3" w:type="pct"/>
            <w:vMerge w:val="restar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A项目决策（12）</w:t>
            </w:r>
          </w:p>
        </w:tc>
        <w:tc>
          <w:tcPr>
            <w:tcW w:w="660" w:type="pct"/>
            <w:vMerge w:val="restar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A1项目立项（6）</w:t>
            </w: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A101 立项依据充分性</w:t>
            </w:r>
          </w:p>
        </w:tc>
        <w:tc>
          <w:tcPr>
            <w:tcW w:w="40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3</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充分</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充分</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3</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3" w:type="pct"/>
            <w:vMerge w:val="continue"/>
            <w:vAlign w:val="center"/>
          </w:tcPr>
          <w:p>
            <w:pPr>
              <w:widowControl/>
              <w:jc w:val="left"/>
              <w:rPr>
                <w:rFonts w:ascii="仿宋_GB2312" w:hAnsi="等线" w:eastAsia="仿宋_GB2312" w:cs="宋体"/>
                <w:color w:val="000000"/>
                <w:kern w:val="0"/>
                <w:sz w:val="22"/>
                <w:szCs w:val="22"/>
              </w:rPr>
            </w:pPr>
          </w:p>
        </w:tc>
        <w:tc>
          <w:tcPr>
            <w:tcW w:w="660" w:type="pct"/>
            <w:vMerge w:val="continue"/>
            <w:vAlign w:val="center"/>
          </w:tcPr>
          <w:p>
            <w:pPr>
              <w:widowControl/>
              <w:jc w:val="left"/>
              <w:rPr>
                <w:rFonts w:ascii="仿宋_GB2312" w:hAnsi="等线" w:eastAsia="仿宋_GB2312" w:cs="宋体"/>
                <w:color w:val="000000"/>
                <w:kern w:val="0"/>
                <w:sz w:val="22"/>
                <w:szCs w:val="22"/>
              </w:rPr>
            </w:pP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A102 项目立项规范性</w:t>
            </w:r>
          </w:p>
        </w:tc>
        <w:tc>
          <w:tcPr>
            <w:tcW w:w="40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3</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规范</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规范</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3</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3" w:type="pct"/>
            <w:vMerge w:val="continue"/>
            <w:vAlign w:val="center"/>
          </w:tcPr>
          <w:p>
            <w:pPr>
              <w:widowControl/>
              <w:jc w:val="left"/>
              <w:rPr>
                <w:rFonts w:ascii="仿宋_GB2312" w:hAnsi="等线" w:eastAsia="仿宋_GB2312" w:cs="宋体"/>
                <w:color w:val="000000"/>
                <w:kern w:val="0"/>
                <w:sz w:val="22"/>
                <w:szCs w:val="22"/>
              </w:rPr>
            </w:pPr>
          </w:p>
        </w:tc>
        <w:tc>
          <w:tcPr>
            <w:tcW w:w="660"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A2 项目目标（6）</w:t>
            </w: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A201 项目目标合理性</w:t>
            </w:r>
          </w:p>
        </w:tc>
        <w:tc>
          <w:tcPr>
            <w:tcW w:w="40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6</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合理</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较合理</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3</w:t>
            </w:r>
            <w:r>
              <w:rPr>
                <w:rFonts w:ascii="仿宋_GB2312" w:hAnsi="等线" w:eastAsia="仿宋_GB2312" w:cs="宋体"/>
                <w:color w:val="000000"/>
                <w:kern w:val="0"/>
                <w:sz w:val="22"/>
                <w:szCs w:val="22"/>
              </w:rPr>
              <w:t>.6</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ascii="仿宋_GB2312" w:hAnsi="等线" w:eastAsia="仿宋_GB2312" w:cs="宋体"/>
                <w:color w:val="000000"/>
                <w:kern w:val="0"/>
                <w:sz w:val="22"/>
                <w:szCs w:val="22"/>
              </w:rPr>
              <w:t>6</w:t>
            </w:r>
            <w:r>
              <w:rPr>
                <w:rFonts w:hint="eastAsia" w:ascii="仿宋_GB2312" w:hAnsi="等线" w:eastAsia="仿宋_GB2312" w:cs="宋体"/>
                <w:color w:val="000000"/>
                <w:kern w:val="0"/>
                <w:sz w:val="22"/>
                <w:szCs w:val="22"/>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3" w:type="pct"/>
            <w:vMerge w:val="restar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B 项目管理（25）</w:t>
            </w:r>
          </w:p>
        </w:tc>
        <w:tc>
          <w:tcPr>
            <w:tcW w:w="660" w:type="pct"/>
            <w:vMerge w:val="restar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B1 投入管理（6）</w:t>
            </w: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B101 预算编制合理性</w:t>
            </w:r>
          </w:p>
        </w:tc>
        <w:tc>
          <w:tcPr>
            <w:tcW w:w="40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3</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合理</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合理</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3</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3" w:type="pct"/>
            <w:vMerge w:val="continue"/>
            <w:vAlign w:val="center"/>
          </w:tcPr>
          <w:p>
            <w:pPr>
              <w:widowControl/>
              <w:jc w:val="left"/>
              <w:rPr>
                <w:rFonts w:ascii="仿宋_GB2312" w:hAnsi="等线" w:eastAsia="仿宋_GB2312" w:cs="宋体"/>
                <w:color w:val="000000"/>
                <w:kern w:val="0"/>
                <w:sz w:val="22"/>
                <w:szCs w:val="22"/>
              </w:rPr>
            </w:pPr>
          </w:p>
        </w:tc>
        <w:tc>
          <w:tcPr>
            <w:tcW w:w="660" w:type="pct"/>
            <w:vMerge w:val="continue"/>
            <w:vAlign w:val="center"/>
          </w:tcPr>
          <w:p>
            <w:pPr>
              <w:widowControl/>
              <w:jc w:val="left"/>
              <w:rPr>
                <w:rFonts w:ascii="仿宋_GB2312" w:hAnsi="等线" w:eastAsia="仿宋_GB2312" w:cs="宋体"/>
                <w:color w:val="000000"/>
                <w:kern w:val="0"/>
                <w:sz w:val="22"/>
                <w:szCs w:val="22"/>
              </w:rPr>
            </w:pP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B102预算执行率</w:t>
            </w:r>
          </w:p>
        </w:tc>
        <w:tc>
          <w:tcPr>
            <w:tcW w:w="40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3</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3</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3" w:type="pct"/>
            <w:vMerge w:val="continue"/>
            <w:vAlign w:val="center"/>
          </w:tcPr>
          <w:p>
            <w:pPr>
              <w:widowControl/>
              <w:jc w:val="left"/>
              <w:rPr>
                <w:rFonts w:ascii="仿宋_GB2312" w:hAnsi="等线" w:eastAsia="仿宋_GB2312" w:cs="宋体"/>
                <w:color w:val="000000"/>
                <w:kern w:val="0"/>
                <w:sz w:val="22"/>
                <w:szCs w:val="22"/>
              </w:rPr>
            </w:pPr>
          </w:p>
        </w:tc>
        <w:tc>
          <w:tcPr>
            <w:tcW w:w="660" w:type="pct"/>
            <w:vMerge w:val="restar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B2 财务管理（7）</w:t>
            </w: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B201 财务管理制度健全性</w:t>
            </w:r>
          </w:p>
        </w:tc>
        <w:tc>
          <w:tcPr>
            <w:tcW w:w="40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3</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健全</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健全</w:t>
            </w:r>
          </w:p>
        </w:tc>
        <w:tc>
          <w:tcPr>
            <w:tcW w:w="65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3</w:t>
            </w:r>
          </w:p>
        </w:tc>
        <w:tc>
          <w:tcPr>
            <w:tcW w:w="573"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3" w:type="pct"/>
            <w:vMerge w:val="continue"/>
            <w:vAlign w:val="center"/>
          </w:tcPr>
          <w:p>
            <w:pPr>
              <w:widowControl/>
              <w:jc w:val="left"/>
              <w:rPr>
                <w:rFonts w:ascii="仿宋_GB2312" w:hAnsi="等线" w:eastAsia="仿宋_GB2312" w:cs="宋体"/>
                <w:color w:val="000000"/>
                <w:kern w:val="0"/>
                <w:sz w:val="22"/>
                <w:szCs w:val="22"/>
              </w:rPr>
            </w:pPr>
          </w:p>
        </w:tc>
        <w:tc>
          <w:tcPr>
            <w:tcW w:w="660" w:type="pct"/>
            <w:vMerge w:val="continue"/>
            <w:vAlign w:val="center"/>
          </w:tcPr>
          <w:p>
            <w:pPr>
              <w:widowControl/>
              <w:jc w:val="left"/>
              <w:rPr>
                <w:rFonts w:ascii="仿宋_GB2312" w:hAnsi="等线" w:eastAsia="仿宋_GB2312" w:cs="宋体"/>
                <w:color w:val="000000"/>
                <w:kern w:val="0"/>
                <w:sz w:val="22"/>
                <w:szCs w:val="22"/>
              </w:rPr>
            </w:pP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B202 资金使用合规性</w:t>
            </w:r>
          </w:p>
        </w:tc>
        <w:tc>
          <w:tcPr>
            <w:tcW w:w="40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4</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合规</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合规</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4</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3" w:type="pct"/>
            <w:vMerge w:val="continue"/>
            <w:vAlign w:val="center"/>
          </w:tcPr>
          <w:p>
            <w:pPr>
              <w:widowControl/>
              <w:jc w:val="left"/>
              <w:rPr>
                <w:rFonts w:ascii="仿宋_GB2312" w:hAnsi="等线" w:eastAsia="仿宋_GB2312" w:cs="宋体"/>
                <w:color w:val="000000"/>
                <w:kern w:val="0"/>
                <w:sz w:val="22"/>
                <w:szCs w:val="22"/>
              </w:rPr>
            </w:pPr>
          </w:p>
        </w:tc>
        <w:tc>
          <w:tcPr>
            <w:tcW w:w="660" w:type="pct"/>
            <w:vMerge w:val="restar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B3 项目实施（12）</w:t>
            </w: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B301 管理制度健全性</w:t>
            </w:r>
          </w:p>
        </w:tc>
        <w:tc>
          <w:tcPr>
            <w:tcW w:w="40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6</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健全</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健全</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6</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3" w:type="pct"/>
            <w:vMerge w:val="continue"/>
            <w:vAlign w:val="center"/>
          </w:tcPr>
          <w:p>
            <w:pPr>
              <w:widowControl/>
              <w:jc w:val="left"/>
              <w:rPr>
                <w:rFonts w:ascii="仿宋_GB2312" w:hAnsi="等线" w:eastAsia="仿宋_GB2312" w:cs="宋体"/>
                <w:color w:val="000000"/>
                <w:kern w:val="0"/>
                <w:sz w:val="22"/>
                <w:szCs w:val="22"/>
              </w:rPr>
            </w:pPr>
          </w:p>
        </w:tc>
        <w:tc>
          <w:tcPr>
            <w:tcW w:w="660" w:type="pct"/>
            <w:vMerge w:val="continue"/>
            <w:vAlign w:val="center"/>
          </w:tcPr>
          <w:p>
            <w:pPr>
              <w:widowControl/>
              <w:jc w:val="left"/>
              <w:rPr>
                <w:rFonts w:ascii="仿宋_GB2312" w:hAnsi="等线" w:eastAsia="仿宋_GB2312" w:cs="宋体"/>
                <w:color w:val="000000"/>
                <w:kern w:val="0"/>
                <w:sz w:val="22"/>
                <w:szCs w:val="22"/>
              </w:rPr>
            </w:pP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B302 管理制度执行有效性</w:t>
            </w:r>
          </w:p>
        </w:tc>
        <w:tc>
          <w:tcPr>
            <w:tcW w:w="40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6</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有效</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有效</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6</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3" w:type="pct"/>
            <w:vMerge w:val="restar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C项目绩效（55）</w:t>
            </w:r>
          </w:p>
        </w:tc>
        <w:tc>
          <w:tcPr>
            <w:tcW w:w="660" w:type="pct"/>
            <w:vMerge w:val="restar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C1 项目产出（55）</w:t>
            </w: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C101专家实地调研次数</w:t>
            </w:r>
          </w:p>
        </w:tc>
        <w:tc>
          <w:tcPr>
            <w:tcW w:w="40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2次</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1次</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5</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733" w:type="pct"/>
            <w:vMerge w:val="continue"/>
            <w:vAlign w:val="center"/>
          </w:tcPr>
          <w:p>
            <w:pPr>
              <w:widowControl/>
              <w:jc w:val="left"/>
              <w:rPr>
                <w:rFonts w:ascii="仿宋_GB2312" w:hAnsi="等线" w:eastAsia="仿宋_GB2312" w:cs="宋体"/>
                <w:color w:val="000000"/>
                <w:kern w:val="0"/>
                <w:sz w:val="22"/>
                <w:szCs w:val="22"/>
              </w:rPr>
            </w:pPr>
          </w:p>
        </w:tc>
        <w:tc>
          <w:tcPr>
            <w:tcW w:w="660" w:type="pct"/>
            <w:vMerge w:val="continue"/>
            <w:vAlign w:val="center"/>
          </w:tcPr>
          <w:p>
            <w:pPr>
              <w:widowControl/>
              <w:jc w:val="left"/>
              <w:rPr>
                <w:rFonts w:ascii="仿宋_GB2312" w:hAnsi="等线" w:eastAsia="仿宋_GB2312" w:cs="宋体"/>
                <w:color w:val="000000"/>
                <w:kern w:val="0"/>
                <w:sz w:val="22"/>
                <w:szCs w:val="22"/>
              </w:rPr>
            </w:pP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C102编制“十四五”综合交通运输发展规划</w:t>
            </w:r>
          </w:p>
        </w:tc>
        <w:tc>
          <w:tcPr>
            <w:tcW w:w="40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1.0本/套</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1.0本/套</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3" w:type="pct"/>
            <w:vMerge w:val="continue"/>
            <w:vAlign w:val="center"/>
          </w:tcPr>
          <w:p>
            <w:pPr>
              <w:widowControl/>
              <w:jc w:val="left"/>
              <w:rPr>
                <w:rFonts w:ascii="仿宋_GB2312" w:hAnsi="等线" w:eastAsia="仿宋_GB2312" w:cs="宋体"/>
                <w:color w:val="000000"/>
                <w:kern w:val="0"/>
                <w:sz w:val="22"/>
                <w:szCs w:val="22"/>
              </w:rPr>
            </w:pPr>
          </w:p>
        </w:tc>
        <w:tc>
          <w:tcPr>
            <w:tcW w:w="660" w:type="pct"/>
            <w:vMerge w:val="continue"/>
            <w:vAlign w:val="center"/>
          </w:tcPr>
          <w:p>
            <w:pPr>
              <w:widowControl/>
              <w:jc w:val="left"/>
              <w:rPr>
                <w:rFonts w:ascii="仿宋_GB2312" w:hAnsi="等线" w:eastAsia="仿宋_GB2312" w:cs="宋体"/>
                <w:color w:val="000000"/>
                <w:kern w:val="0"/>
                <w:sz w:val="22"/>
                <w:szCs w:val="22"/>
              </w:rPr>
            </w:pP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C103规划编制通过率</w:t>
            </w:r>
          </w:p>
        </w:tc>
        <w:tc>
          <w:tcPr>
            <w:tcW w:w="40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7</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w:t>
            </w:r>
            <w:r>
              <w:rPr>
                <w:rFonts w:ascii="仿宋_GB2312" w:hAnsi="等线" w:eastAsia="仿宋_GB2312" w:cs="宋体"/>
                <w:color w:val="000000"/>
                <w:kern w:val="0"/>
                <w:sz w:val="22"/>
                <w:szCs w:val="22"/>
              </w:rPr>
              <w:t>00%</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w:t>
            </w:r>
            <w:r>
              <w:rPr>
                <w:rFonts w:ascii="仿宋_GB2312" w:hAnsi="等线" w:eastAsia="仿宋_GB2312" w:cs="宋体"/>
                <w:color w:val="000000"/>
                <w:kern w:val="0"/>
                <w:sz w:val="22"/>
                <w:szCs w:val="22"/>
              </w:rPr>
              <w:t>00%</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7</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733" w:type="pct"/>
            <w:vMerge w:val="continue"/>
            <w:vAlign w:val="center"/>
          </w:tcPr>
          <w:p>
            <w:pPr>
              <w:widowControl/>
              <w:jc w:val="left"/>
              <w:rPr>
                <w:rFonts w:ascii="仿宋_GB2312" w:hAnsi="等线" w:eastAsia="仿宋_GB2312" w:cs="宋体"/>
                <w:color w:val="000000"/>
                <w:kern w:val="0"/>
                <w:sz w:val="22"/>
                <w:szCs w:val="22"/>
              </w:rPr>
            </w:pPr>
          </w:p>
        </w:tc>
        <w:tc>
          <w:tcPr>
            <w:tcW w:w="660" w:type="pct"/>
            <w:vMerge w:val="continue"/>
            <w:vAlign w:val="center"/>
          </w:tcPr>
          <w:p>
            <w:pPr>
              <w:widowControl/>
              <w:jc w:val="left"/>
              <w:rPr>
                <w:rFonts w:ascii="仿宋_GB2312" w:hAnsi="等线" w:eastAsia="仿宋_GB2312" w:cs="宋体"/>
                <w:color w:val="000000"/>
                <w:kern w:val="0"/>
                <w:sz w:val="22"/>
                <w:szCs w:val="22"/>
              </w:rPr>
            </w:pP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C104推动我市交通运输高质量发展</w:t>
            </w:r>
          </w:p>
        </w:tc>
        <w:tc>
          <w:tcPr>
            <w:tcW w:w="40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7</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有效推动</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有效推动</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7</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trPr>
        <w:tc>
          <w:tcPr>
            <w:tcW w:w="733" w:type="pct"/>
            <w:vMerge w:val="continue"/>
            <w:vAlign w:val="center"/>
          </w:tcPr>
          <w:p>
            <w:pPr>
              <w:widowControl/>
              <w:jc w:val="left"/>
              <w:rPr>
                <w:rFonts w:ascii="仿宋_GB2312" w:hAnsi="等线" w:eastAsia="仿宋_GB2312" w:cs="宋体"/>
                <w:color w:val="000000"/>
                <w:kern w:val="0"/>
                <w:sz w:val="22"/>
                <w:szCs w:val="22"/>
              </w:rPr>
            </w:pPr>
          </w:p>
        </w:tc>
        <w:tc>
          <w:tcPr>
            <w:tcW w:w="660" w:type="pct"/>
            <w:vMerge w:val="continue"/>
            <w:vAlign w:val="center"/>
          </w:tcPr>
          <w:p>
            <w:pPr>
              <w:widowControl/>
              <w:jc w:val="left"/>
              <w:rPr>
                <w:rFonts w:ascii="仿宋_GB2312" w:hAnsi="等线" w:eastAsia="仿宋_GB2312" w:cs="宋体"/>
                <w:color w:val="000000"/>
                <w:kern w:val="0"/>
                <w:sz w:val="22"/>
                <w:szCs w:val="22"/>
              </w:rPr>
            </w:pP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C105总结梳理吐鲁番市“十三五”时期交通运输发展成就和存在的问题</w:t>
            </w:r>
          </w:p>
        </w:tc>
        <w:tc>
          <w:tcPr>
            <w:tcW w:w="40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7</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充分</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充分</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7</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trPr>
        <w:tc>
          <w:tcPr>
            <w:tcW w:w="733" w:type="pct"/>
            <w:vMerge w:val="continue"/>
            <w:vAlign w:val="center"/>
          </w:tcPr>
          <w:p>
            <w:pPr>
              <w:widowControl/>
              <w:jc w:val="left"/>
              <w:rPr>
                <w:rFonts w:ascii="仿宋_GB2312" w:hAnsi="等线" w:eastAsia="仿宋_GB2312" w:cs="宋体"/>
                <w:color w:val="000000"/>
                <w:kern w:val="0"/>
                <w:sz w:val="22"/>
                <w:szCs w:val="22"/>
              </w:rPr>
            </w:pPr>
          </w:p>
        </w:tc>
        <w:tc>
          <w:tcPr>
            <w:tcW w:w="660" w:type="pct"/>
            <w:vMerge w:val="continue"/>
            <w:vAlign w:val="center"/>
          </w:tcPr>
          <w:p>
            <w:pPr>
              <w:widowControl/>
              <w:jc w:val="left"/>
              <w:rPr>
                <w:rFonts w:ascii="仿宋_GB2312" w:hAnsi="等线" w:eastAsia="仿宋_GB2312" w:cs="宋体"/>
                <w:color w:val="000000"/>
                <w:kern w:val="0"/>
                <w:sz w:val="22"/>
                <w:szCs w:val="22"/>
              </w:rPr>
            </w:pP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C106分析研判吐鲁番市“十四五”时期交通发展面临的形势和任务</w:t>
            </w:r>
          </w:p>
        </w:tc>
        <w:tc>
          <w:tcPr>
            <w:tcW w:w="40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7</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充分</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充分</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7</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trPr>
        <w:tc>
          <w:tcPr>
            <w:tcW w:w="733" w:type="pct"/>
            <w:vMerge w:val="continue"/>
            <w:vAlign w:val="center"/>
          </w:tcPr>
          <w:p>
            <w:pPr>
              <w:widowControl/>
              <w:jc w:val="left"/>
              <w:rPr>
                <w:rFonts w:ascii="仿宋_GB2312" w:hAnsi="等线" w:eastAsia="仿宋_GB2312" w:cs="宋体"/>
                <w:color w:val="000000"/>
                <w:kern w:val="0"/>
                <w:sz w:val="22"/>
                <w:szCs w:val="22"/>
              </w:rPr>
            </w:pPr>
          </w:p>
        </w:tc>
        <w:tc>
          <w:tcPr>
            <w:tcW w:w="660" w:type="pct"/>
            <w:vMerge w:val="continue"/>
            <w:vAlign w:val="center"/>
          </w:tcPr>
          <w:p>
            <w:pPr>
              <w:widowControl/>
              <w:jc w:val="left"/>
              <w:rPr>
                <w:rFonts w:ascii="仿宋_GB2312" w:hAnsi="等线" w:eastAsia="仿宋_GB2312" w:cs="宋体"/>
                <w:color w:val="000000"/>
                <w:kern w:val="0"/>
                <w:sz w:val="22"/>
                <w:szCs w:val="22"/>
              </w:rPr>
            </w:pP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C107提出具有指导性和前瞻性的规划方案、建设任务和投资安排</w:t>
            </w:r>
          </w:p>
        </w:tc>
        <w:tc>
          <w:tcPr>
            <w:tcW w:w="40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7</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充分</w:t>
            </w:r>
          </w:p>
        </w:tc>
        <w:tc>
          <w:tcPr>
            <w:tcW w:w="574"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充分</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7</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3"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D满意度（8）</w:t>
            </w:r>
          </w:p>
        </w:tc>
        <w:tc>
          <w:tcPr>
            <w:tcW w:w="660"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D1满意度（8）</w:t>
            </w:r>
          </w:p>
        </w:tc>
        <w:tc>
          <w:tcPr>
            <w:tcW w:w="827"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D101受益群众满意度（%）</w:t>
            </w:r>
          </w:p>
        </w:tc>
        <w:tc>
          <w:tcPr>
            <w:tcW w:w="405" w:type="pct"/>
            <w:shd w:val="clear" w:color="auto" w:fill="auto"/>
            <w:vAlign w:val="center"/>
          </w:tcPr>
          <w:p>
            <w:pPr>
              <w:widowControl/>
              <w:jc w:val="left"/>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8</w:t>
            </w:r>
          </w:p>
        </w:tc>
        <w:tc>
          <w:tcPr>
            <w:tcW w:w="573" w:type="pct"/>
            <w:shd w:val="clear" w:color="auto" w:fill="auto"/>
            <w:vAlign w:val="center"/>
          </w:tcPr>
          <w:p>
            <w:pPr>
              <w:widowControl/>
              <w:jc w:val="center"/>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≥95%</w:t>
            </w:r>
          </w:p>
        </w:tc>
        <w:tc>
          <w:tcPr>
            <w:tcW w:w="574" w:type="pct"/>
            <w:shd w:val="clear" w:color="auto" w:fill="auto"/>
            <w:vAlign w:val="center"/>
          </w:tcPr>
          <w:p>
            <w:pPr>
              <w:widowControl/>
              <w:jc w:val="center"/>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95%</w:t>
            </w:r>
          </w:p>
        </w:tc>
        <w:tc>
          <w:tcPr>
            <w:tcW w:w="655"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8</w:t>
            </w:r>
          </w:p>
        </w:tc>
        <w:tc>
          <w:tcPr>
            <w:tcW w:w="573" w:type="pct"/>
            <w:shd w:val="clear" w:color="auto" w:fill="auto"/>
            <w:vAlign w:val="center"/>
          </w:tcPr>
          <w:p>
            <w:pPr>
              <w:widowControl/>
              <w:rPr>
                <w:rFonts w:ascii="仿宋_GB2312" w:hAnsi="等线" w:eastAsia="仿宋_GB2312" w:cs="宋体"/>
                <w:color w:val="000000"/>
                <w:kern w:val="0"/>
                <w:sz w:val="22"/>
                <w:szCs w:val="22"/>
              </w:rPr>
            </w:pPr>
            <w:r>
              <w:rPr>
                <w:rFonts w:hint="eastAsia" w:ascii="仿宋_GB2312" w:hAnsi="等线" w:eastAsia="仿宋_GB2312" w:cs="宋体"/>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220" w:type="pct"/>
            <w:gridSpan w:val="3"/>
            <w:shd w:val="clear" w:color="auto" w:fill="auto"/>
            <w:vAlign w:val="center"/>
          </w:tcPr>
          <w:p>
            <w:pPr>
              <w:widowControl/>
              <w:jc w:val="center"/>
              <w:rPr>
                <w:rFonts w:ascii="仿宋_GB2312" w:hAnsi="等线" w:eastAsia="仿宋_GB2312" w:cs="宋体"/>
                <w:b/>
                <w:bCs/>
                <w:color w:val="000000"/>
                <w:kern w:val="0"/>
                <w:sz w:val="22"/>
                <w:szCs w:val="22"/>
              </w:rPr>
            </w:pPr>
            <w:r>
              <w:rPr>
                <w:rFonts w:hint="eastAsia" w:ascii="仿宋_GB2312" w:hAnsi="等线" w:eastAsia="仿宋_GB2312" w:cs="宋体"/>
                <w:b/>
                <w:bCs/>
                <w:color w:val="000000"/>
                <w:kern w:val="0"/>
                <w:sz w:val="22"/>
                <w:szCs w:val="22"/>
              </w:rPr>
              <w:t>总分</w:t>
            </w:r>
          </w:p>
        </w:tc>
        <w:tc>
          <w:tcPr>
            <w:tcW w:w="405" w:type="pct"/>
            <w:shd w:val="clear" w:color="auto" w:fill="auto"/>
            <w:vAlign w:val="center"/>
          </w:tcPr>
          <w:p>
            <w:pPr>
              <w:widowControl/>
              <w:jc w:val="center"/>
              <w:rPr>
                <w:rFonts w:ascii="仿宋_GB2312" w:hAnsi="等线" w:eastAsia="仿宋_GB2312" w:cs="宋体"/>
                <w:b/>
                <w:bCs/>
                <w:color w:val="000000"/>
                <w:kern w:val="0"/>
                <w:sz w:val="22"/>
                <w:szCs w:val="22"/>
              </w:rPr>
            </w:pPr>
            <w:r>
              <w:rPr>
                <w:rFonts w:hint="eastAsia" w:ascii="仿宋_GB2312" w:hAnsi="等线" w:eastAsia="仿宋_GB2312" w:cs="宋体"/>
                <w:b/>
                <w:bCs/>
                <w:color w:val="000000"/>
                <w:kern w:val="0"/>
                <w:sz w:val="22"/>
                <w:szCs w:val="22"/>
              </w:rPr>
              <w:t>100</w:t>
            </w:r>
          </w:p>
        </w:tc>
        <w:tc>
          <w:tcPr>
            <w:tcW w:w="573" w:type="pct"/>
            <w:shd w:val="clear" w:color="auto" w:fill="auto"/>
            <w:vAlign w:val="center"/>
          </w:tcPr>
          <w:p>
            <w:pPr>
              <w:widowControl/>
              <w:jc w:val="center"/>
              <w:rPr>
                <w:rFonts w:ascii="仿宋_GB2312" w:hAnsi="等线" w:eastAsia="仿宋_GB2312" w:cs="宋体"/>
                <w:b/>
                <w:bCs/>
                <w:color w:val="000000"/>
                <w:kern w:val="0"/>
                <w:sz w:val="22"/>
                <w:szCs w:val="22"/>
              </w:rPr>
            </w:pPr>
            <w:r>
              <w:rPr>
                <w:rFonts w:hint="eastAsia" w:ascii="仿宋_GB2312" w:hAnsi="等线" w:eastAsia="仿宋_GB2312" w:cs="宋体"/>
                <w:b/>
                <w:bCs/>
                <w:color w:val="000000"/>
                <w:kern w:val="0"/>
                <w:sz w:val="22"/>
                <w:szCs w:val="22"/>
              </w:rPr>
              <w:t>-</w:t>
            </w:r>
          </w:p>
        </w:tc>
        <w:tc>
          <w:tcPr>
            <w:tcW w:w="574" w:type="pct"/>
            <w:shd w:val="clear" w:color="auto" w:fill="auto"/>
            <w:vAlign w:val="center"/>
          </w:tcPr>
          <w:p>
            <w:pPr>
              <w:widowControl/>
              <w:jc w:val="center"/>
              <w:rPr>
                <w:rFonts w:ascii="仿宋_GB2312" w:hAnsi="等线" w:eastAsia="仿宋_GB2312" w:cs="宋体"/>
                <w:b/>
                <w:bCs/>
                <w:color w:val="000000"/>
                <w:kern w:val="0"/>
                <w:sz w:val="22"/>
                <w:szCs w:val="22"/>
              </w:rPr>
            </w:pPr>
            <w:r>
              <w:rPr>
                <w:rFonts w:hint="eastAsia" w:ascii="仿宋_GB2312" w:hAnsi="等线" w:eastAsia="仿宋_GB2312" w:cs="宋体"/>
                <w:b/>
                <w:bCs/>
                <w:color w:val="000000"/>
                <w:kern w:val="0"/>
                <w:sz w:val="22"/>
                <w:szCs w:val="22"/>
              </w:rPr>
              <w:t>-</w:t>
            </w:r>
          </w:p>
        </w:tc>
        <w:tc>
          <w:tcPr>
            <w:tcW w:w="655" w:type="pct"/>
            <w:shd w:val="clear" w:color="auto" w:fill="auto"/>
            <w:vAlign w:val="center"/>
          </w:tcPr>
          <w:p>
            <w:pPr>
              <w:widowControl/>
              <w:jc w:val="center"/>
              <w:rPr>
                <w:rFonts w:ascii="仿宋_GB2312" w:hAnsi="等线" w:eastAsia="仿宋_GB2312" w:cs="宋体"/>
                <w:b/>
                <w:bCs/>
                <w:color w:val="000000"/>
                <w:kern w:val="0"/>
                <w:sz w:val="22"/>
                <w:szCs w:val="22"/>
              </w:rPr>
            </w:pPr>
            <w:r>
              <w:rPr>
                <w:rFonts w:hint="eastAsia" w:ascii="仿宋_GB2312" w:hAnsi="等线" w:eastAsia="仿宋_GB2312" w:cs="宋体"/>
                <w:b/>
                <w:bCs/>
                <w:color w:val="000000"/>
                <w:kern w:val="0"/>
                <w:sz w:val="22"/>
                <w:szCs w:val="22"/>
              </w:rPr>
              <w:t>92</w:t>
            </w:r>
            <w:r>
              <w:rPr>
                <w:rFonts w:ascii="仿宋_GB2312" w:hAnsi="等线" w:eastAsia="仿宋_GB2312" w:cs="宋体"/>
                <w:b/>
                <w:bCs/>
                <w:color w:val="000000"/>
                <w:kern w:val="0"/>
                <w:sz w:val="22"/>
                <w:szCs w:val="22"/>
              </w:rPr>
              <w:t>.6</w:t>
            </w:r>
          </w:p>
        </w:tc>
        <w:tc>
          <w:tcPr>
            <w:tcW w:w="573" w:type="pct"/>
            <w:shd w:val="clear" w:color="auto" w:fill="auto"/>
            <w:vAlign w:val="center"/>
          </w:tcPr>
          <w:p>
            <w:pPr>
              <w:widowControl/>
              <w:jc w:val="center"/>
              <w:rPr>
                <w:rFonts w:ascii="仿宋_GB2312" w:hAnsi="等线" w:eastAsia="仿宋_GB2312" w:cs="宋体"/>
                <w:b/>
                <w:bCs/>
                <w:color w:val="000000"/>
                <w:kern w:val="0"/>
                <w:sz w:val="22"/>
                <w:szCs w:val="22"/>
              </w:rPr>
            </w:pPr>
            <w:r>
              <w:rPr>
                <w:rFonts w:hint="eastAsia" w:ascii="仿宋_GB2312" w:hAnsi="等线" w:eastAsia="仿宋_GB2312" w:cs="宋体"/>
                <w:b/>
                <w:bCs/>
                <w:color w:val="000000"/>
                <w:kern w:val="0"/>
                <w:sz w:val="22"/>
                <w:szCs w:val="22"/>
              </w:rPr>
              <w:t>92.</w:t>
            </w:r>
            <w:r>
              <w:rPr>
                <w:rFonts w:ascii="仿宋_GB2312" w:hAnsi="等线" w:eastAsia="仿宋_GB2312" w:cs="宋体"/>
                <w:b/>
                <w:bCs/>
                <w:color w:val="000000"/>
                <w:kern w:val="0"/>
                <w:sz w:val="22"/>
                <w:szCs w:val="22"/>
              </w:rPr>
              <w:t>6</w:t>
            </w:r>
            <w:r>
              <w:rPr>
                <w:rFonts w:hint="eastAsia" w:ascii="仿宋_GB2312" w:hAnsi="等线" w:eastAsia="仿宋_GB2312" w:cs="宋体"/>
                <w:b/>
                <w:bCs/>
                <w:color w:val="000000"/>
                <w:kern w:val="0"/>
                <w:sz w:val="22"/>
                <w:szCs w:val="22"/>
              </w:rPr>
              <w:t>0%</w:t>
            </w:r>
          </w:p>
        </w:tc>
      </w:tr>
    </w:tbl>
    <w:p>
      <w:pPr>
        <w:pStyle w:val="39"/>
        <w:spacing w:line="580" w:lineRule="exact"/>
        <w:ind w:firstLine="643" w:firstLineChars="200"/>
        <w:outlineLvl w:val="0"/>
        <w:rPr>
          <w:rFonts w:ascii="Times New Roman" w:hAnsi="Times New Roman"/>
        </w:rPr>
      </w:pPr>
    </w:p>
    <w:p>
      <w:pPr>
        <w:pStyle w:val="86"/>
        <w:rPr>
          <w:b/>
        </w:rPr>
      </w:pPr>
      <w:bookmarkStart w:id="94" w:name="_Toc111753740"/>
      <w:bookmarkStart w:id="95" w:name="_Toc111833610"/>
      <w:r>
        <w:rPr>
          <w:rFonts w:hint="eastAsia"/>
        </w:rPr>
        <w:t>四、绩效评价分析</w:t>
      </w:r>
      <w:bookmarkEnd w:id="94"/>
      <w:bookmarkEnd w:id="95"/>
    </w:p>
    <w:p>
      <w:pPr>
        <w:pStyle w:val="85"/>
      </w:pPr>
      <w:bookmarkStart w:id="96" w:name="_Toc111753741"/>
      <w:bookmarkStart w:id="97" w:name="_Toc30163844"/>
      <w:bookmarkStart w:id="98" w:name="_Toc111833611"/>
      <w:r>
        <w:rPr>
          <w:rFonts w:hint="eastAsia"/>
        </w:rPr>
        <w:t>（一）</w:t>
      </w:r>
      <w:bookmarkEnd w:id="96"/>
      <w:bookmarkEnd w:id="97"/>
      <w:r>
        <w:rPr>
          <w:rFonts w:hint="eastAsia"/>
        </w:rPr>
        <w:t>绩效目标分析</w:t>
      </w:r>
      <w:bookmarkEnd w:id="98"/>
    </w:p>
    <w:p>
      <w:pPr>
        <w:widowControl/>
        <w:autoSpaceDE w:val="0"/>
        <w:spacing w:line="560" w:lineRule="exact"/>
        <w:ind w:firstLine="643" w:firstLineChars="200"/>
        <w:jc w:val="left"/>
        <w:textAlignment w:val="center"/>
        <w:rPr>
          <w:rFonts w:ascii="仿宋_GB2312" w:hAnsi="仿宋_GB2312" w:eastAsia="仿宋_GB2312" w:cs="仿宋_GB2312"/>
          <w:color w:val="000000" w:themeColor="text1"/>
          <w:kern w:val="0"/>
          <w:sz w:val="32"/>
          <w:szCs w:val="32"/>
          <w14:textFill>
            <w14:solidFill>
              <w14:schemeClr w14:val="tx1"/>
            </w14:solidFill>
          </w14:textFill>
        </w:rPr>
      </w:pPr>
      <w:bookmarkStart w:id="99" w:name="_Toc30163845"/>
      <w:r>
        <w:rPr>
          <w:rFonts w:hint="eastAsia" w:ascii="仿宋_GB2312" w:hAnsi="仿宋_GB2312" w:eastAsia="仿宋_GB2312" w:cs="仿宋_GB2312"/>
          <w:b/>
          <w:bCs/>
          <w:color w:val="000000" w:themeColor="text1"/>
          <w:sz w:val="32"/>
          <w:szCs w:val="32"/>
          <w:lang w:eastAsia="zh-Hans"/>
          <w14:textFill>
            <w14:solidFill>
              <w14:schemeClr w14:val="tx1"/>
            </w14:solidFill>
          </w14:textFill>
        </w:rPr>
        <w:t>部分</w:t>
      </w:r>
      <w:r>
        <w:rPr>
          <w:rFonts w:hint="eastAsia" w:ascii="仿宋_GB2312" w:hAnsi="仿宋_GB2312" w:eastAsia="仿宋_GB2312" w:cs="仿宋_GB2312"/>
          <w:b/>
          <w:bCs/>
          <w:color w:val="000000" w:themeColor="text1"/>
          <w:sz w:val="32"/>
          <w:szCs w:val="32"/>
          <w14:textFill>
            <w14:solidFill>
              <w14:schemeClr w14:val="tx1"/>
            </w14:solidFill>
          </w14:textFill>
        </w:rPr>
        <w:t>绩效目标设置不</w:t>
      </w:r>
      <w:r>
        <w:rPr>
          <w:rFonts w:hint="eastAsia" w:ascii="仿宋_GB2312" w:hAnsi="仿宋_GB2312" w:eastAsia="仿宋_GB2312" w:cs="仿宋_GB2312"/>
          <w:b/>
          <w:bCs/>
          <w:color w:val="000000" w:themeColor="text1"/>
          <w:sz w:val="32"/>
          <w:szCs w:val="32"/>
          <w:lang w:eastAsia="zh-Hans"/>
          <w14:textFill>
            <w14:solidFill>
              <w14:schemeClr w14:val="tx1"/>
            </w14:solidFill>
          </w14:textFill>
        </w:rPr>
        <w:t>合理</w:t>
      </w:r>
      <w:r>
        <w:rPr>
          <w:rFonts w:hint="eastAsia" w:ascii="仿宋_GB2312" w:hAnsi="仿宋_GB2312" w:eastAsia="仿宋_GB2312" w:cs="仿宋_GB2312"/>
          <w:b/>
          <w:bCs/>
          <w:color w:val="000000" w:themeColor="text1"/>
          <w:sz w:val="32"/>
          <w:szCs w:val="32"/>
          <w14:textFill>
            <w14:solidFill>
              <w14:schemeClr w14:val="tx1"/>
            </w14:solidFill>
          </w14:textFill>
        </w:rPr>
        <w:t>，不够明确。</w:t>
      </w:r>
      <w:bookmarkStart w:id="100" w:name="_Hlk111826049"/>
      <w:r>
        <w:rPr>
          <w:rFonts w:hint="eastAsia" w:ascii="仿宋_GB2312" w:hAnsi="仿宋_GB2312" w:eastAsia="仿宋_GB2312" w:cs="仿宋_GB2312"/>
          <w:color w:val="000000" w:themeColor="text1"/>
          <w:sz w:val="32"/>
          <w:szCs w:val="32"/>
          <w14:textFill>
            <w14:solidFill>
              <w14:schemeClr w14:val="tx1"/>
            </w14:solidFill>
          </w14:textFill>
        </w:rPr>
        <w:t>本项目设置了</w:t>
      </w:r>
      <w:r>
        <w:rPr>
          <w:rFonts w:hint="eastAsia" w:ascii="仿宋_GB2312" w:hAnsi="仿宋_GB2312" w:eastAsia="仿宋_GB2312" w:cs="仿宋_GB2312"/>
          <w:color w:val="000000" w:themeColor="text1"/>
          <w:kern w:val="0"/>
          <w:sz w:val="32"/>
          <w:szCs w:val="32"/>
          <w14:textFill>
            <w14:solidFill>
              <w14:schemeClr w14:val="tx1"/>
            </w14:solidFill>
          </w14:textFill>
        </w:rPr>
        <w:t>产出</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目标</w:t>
      </w:r>
      <w:r>
        <w:rPr>
          <w:rFonts w:hint="eastAsia" w:ascii="仿宋_GB2312" w:hAnsi="仿宋_GB2312" w:eastAsia="仿宋_GB2312" w:cs="仿宋_GB2312"/>
          <w:color w:val="000000" w:themeColor="text1"/>
          <w:kern w:val="0"/>
          <w:sz w:val="32"/>
          <w:szCs w:val="32"/>
          <w14:textFill>
            <w14:solidFill>
              <w14:schemeClr w14:val="tx1"/>
            </w14:solidFill>
          </w14:textFill>
        </w:rPr>
        <w:t>（含数量、质</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量、</w:t>
      </w:r>
      <w:r>
        <w:rPr>
          <w:rFonts w:hint="eastAsia" w:ascii="仿宋_GB2312" w:hAnsi="仿宋_GB2312" w:eastAsia="仿宋_GB2312" w:cs="仿宋_GB2312"/>
          <w:color w:val="000000" w:themeColor="text1"/>
          <w:kern w:val="0"/>
          <w:sz w:val="32"/>
          <w:szCs w:val="32"/>
          <w14:textFill>
            <w14:solidFill>
              <w14:schemeClr w14:val="tx1"/>
            </w14:solidFill>
          </w14:textFill>
        </w:rPr>
        <w:t>时效、成本</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可持续影响</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目标</w:t>
      </w:r>
      <w:r>
        <w:rPr>
          <w:rFonts w:hint="eastAsia" w:ascii="仿宋_GB2312" w:hAnsi="仿宋_GB2312" w:eastAsia="仿宋_GB2312" w:cs="仿宋_GB2312"/>
          <w:color w:val="000000" w:themeColor="text1"/>
          <w:kern w:val="0"/>
          <w:sz w:val="32"/>
          <w:szCs w:val="32"/>
          <w14:textFill>
            <w14:solidFill>
              <w14:schemeClr w14:val="tx1"/>
            </w14:solidFill>
          </w14:textFill>
        </w:rPr>
        <w:t>、满意度</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目标</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部分绩效目标设置不合理，如：时效指标：项目任务完成时限，预期指标值为</w:t>
      </w:r>
      <w:r>
        <w:rPr>
          <w:rFonts w:hint="eastAsia" w:ascii="仿宋_GB2312" w:hAnsi="仿宋_GB2312" w:eastAsia="仿宋_GB2312" w:cs="仿宋_GB2312"/>
          <w:color w:val="000000" w:themeColor="text1"/>
          <w:kern w:val="0"/>
          <w:sz w:val="32"/>
          <w:szCs w:val="32"/>
          <w14:textFill>
            <w14:solidFill>
              <w14:schemeClr w14:val="tx1"/>
            </w14:solidFill>
          </w14:textFill>
        </w:rPr>
        <w:t>2</w:t>
      </w:r>
      <w:r>
        <w:rPr>
          <w:rFonts w:ascii="仿宋_GB2312" w:hAnsi="仿宋_GB2312" w:eastAsia="仿宋_GB2312" w:cs="仿宋_GB2312"/>
          <w:color w:val="000000" w:themeColor="text1"/>
          <w:kern w:val="0"/>
          <w:sz w:val="32"/>
          <w:szCs w:val="32"/>
          <w14:textFill>
            <w14:solidFill>
              <w14:schemeClr w14:val="tx1"/>
            </w14:solidFill>
          </w14:textFill>
        </w:rPr>
        <w:t>021</w:t>
      </w:r>
      <w:r>
        <w:rPr>
          <w:rFonts w:hint="eastAsia" w:ascii="仿宋_GB2312" w:hAnsi="仿宋_GB2312" w:eastAsia="仿宋_GB2312" w:cs="仿宋_GB2312"/>
          <w:color w:val="000000" w:themeColor="text1"/>
          <w:kern w:val="0"/>
          <w:sz w:val="32"/>
          <w:szCs w:val="32"/>
          <w14:textFill>
            <w14:solidFill>
              <w14:schemeClr w14:val="tx1"/>
            </w14:solidFill>
          </w14:textFill>
        </w:rPr>
        <w:t>年1</w:t>
      </w:r>
      <w:r>
        <w:rPr>
          <w:rFonts w:ascii="仿宋_GB2312" w:hAnsi="仿宋_GB2312" w:eastAsia="仿宋_GB2312" w:cs="仿宋_GB2312"/>
          <w:color w:val="000000" w:themeColor="text1"/>
          <w:kern w:val="0"/>
          <w:sz w:val="32"/>
          <w:szCs w:val="32"/>
          <w14:textFill>
            <w14:solidFill>
              <w14:schemeClr w14:val="tx1"/>
            </w14:solidFill>
          </w14:textFill>
        </w:rPr>
        <w:t>1</w:t>
      </w:r>
      <w:r>
        <w:rPr>
          <w:rFonts w:hint="eastAsia" w:ascii="仿宋_GB2312" w:hAnsi="仿宋_GB2312" w:eastAsia="仿宋_GB2312" w:cs="仿宋_GB2312"/>
          <w:color w:val="000000" w:themeColor="text1"/>
          <w:kern w:val="0"/>
          <w:sz w:val="32"/>
          <w:szCs w:val="32"/>
          <w14:textFill>
            <w14:solidFill>
              <w14:schemeClr w14:val="tx1"/>
            </w14:solidFill>
          </w14:textFill>
        </w:rPr>
        <w:t>月，未突出项目的及时程度和效率情况</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；成本指标：咨询服务费，未设定分项成本控制数；服务对象满意度指标设置不合理，指向不够明确。</w:t>
      </w:r>
      <w:bookmarkEnd w:id="100"/>
      <w:r>
        <w:rPr>
          <w:rFonts w:hint="eastAsia" w:ascii="仿宋_GB2312" w:hAnsi="仿宋_GB2312" w:eastAsia="仿宋_GB2312" w:cs="仿宋_GB2312"/>
          <w:color w:val="000000" w:themeColor="text1"/>
          <w:kern w:val="0"/>
          <w:sz w:val="32"/>
          <w:szCs w:val="32"/>
          <w14:textFill>
            <w14:solidFill>
              <w14:schemeClr w14:val="tx1"/>
            </w14:solidFill>
          </w14:textFill>
        </w:rPr>
        <w:t>各绩效指标分析详见下表。</w:t>
      </w:r>
    </w:p>
    <w:p>
      <w:pPr>
        <w:pStyle w:val="32"/>
        <w:widowControl/>
        <w:ind w:firstLine="482"/>
        <w:jc w:val="center"/>
        <w:rPr>
          <w:color w:val="000000" w:themeColor="text1"/>
          <w14:textFill>
            <w14:solidFill>
              <w14:schemeClr w14:val="tx1"/>
            </w14:solidFill>
          </w14:textFill>
        </w:rPr>
      </w:pPr>
      <w:r>
        <w:rPr>
          <w:rFonts w:hint="eastAsia"/>
          <w:b/>
          <w:color w:val="000000" w:themeColor="text1"/>
          <w:sz w:val="24"/>
          <w14:textFill>
            <w14:solidFill>
              <w14:schemeClr w14:val="tx1"/>
            </w14:solidFill>
          </w14:textFill>
        </w:rPr>
        <w:t xml:space="preserve">表4-1 </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绩效目标分析情况表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3"/>
        <w:gridCol w:w="1138"/>
        <w:gridCol w:w="3131"/>
        <w:gridCol w:w="1422"/>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39" w:type="pct"/>
            <w:shd w:val="clear" w:color="auto" w:fill="BEBEBE"/>
            <w:tcMar>
              <w:top w:w="12" w:type="dxa"/>
              <w:left w:w="12" w:type="dxa"/>
              <w:right w:w="12" w:type="dxa"/>
            </w:tcMar>
            <w:vAlign w:val="center"/>
          </w:tcPr>
          <w:p>
            <w:pPr>
              <w:widowControl/>
              <w:jc w:val="center"/>
              <w:textAlignment w:val="center"/>
              <w:rPr>
                <w:rFonts w:ascii="仿宋_GB2312" w:hAnsi="Times New Roman" w:eastAsia="仿宋_GB2312" w:cs="仿宋"/>
                <w:b/>
                <w:color w:val="000000" w:themeColor="text1"/>
                <w:sz w:val="22"/>
                <w:szCs w:val="22"/>
                <w14:textFill>
                  <w14:solidFill>
                    <w14:schemeClr w14:val="tx1"/>
                  </w14:solidFill>
                </w14:textFill>
              </w:rPr>
            </w:pPr>
            <w:r>
              <w:rPr>
                <w:rFonts w:hint="eastAsia" w:ascii="仿宋_GB2312" w:hAnsi="Times New Roman" w:eastAsia="仿宋_GB2312" w:cs="仿宋"/>
                <w:b/>
                <w:color w:val="000000" w:themeColor="text1"/>
                <w:kern w:val="0"/>
                <w:sz w:val="22"/>
                <w:szCs w:val="22"/>
                <w:lang w:bidi="ar"/>
                <w14:textFill>
                  <w14:solidFill>
                    <w14:schemeClr w14:val="tx1"/>
                  </w14:solidFill>
                </w14:textFill>
              </w:rPr>
              <w:t>一级指标</w:t>
            </w:r>
          </w:p>
        </w:tc>
        <w:tc>
          <w:tcPr>
            <w:tcW w:w="642" w:type="pct"/>
            <w:shd w:val="clear" w:color="auto" w:fill="BEBEBE"/>
            <w:tcMar>
              <w:top w:w="12" w:type="dxa"/>
              <w:left w:w="12" w:type="dxa"/>
              <w:right w:w="12" w:type="dxa"/>
            </w:tcMar>
            <w:vAlign w:val="center"/>
          </w:tcPr>
          <w:p>
            <w:pPr>
              <w:widowControl/>
              <w:jc w:val="center"/>
              <w:textAlignment w:val="center"/>
              <w:rPr>
                <w:rFonts w:ascii="仿宋_GB2312" w:hAnsi="Times New Roman" w:eastAsia="仿宋_GB2312" w:cs="仿宋"/>
                <w:b/>
                <w:color w:val="000000" w:themeColor="text1"/>
                <w:sz w:val="22"/>
                <w:szCs w:val="22"/>
                <w14:textFill>
                  <w14:solidFill>
                    <w14:schemeClr w14:val="tx1"/>
                  </w14:solidFill>
                </w14:textFill>
              </w:rPr>
            </w:pPr>
            <w:r>
              <w:rPr>
                <w:rFonts w:hint="eastAsia" w:ascii="仿宋_GB2312" w:hAnsi="Times New Roman" w:eastAsia="仿宋_GB2312" w:cs="仿宋"/>
                <w:b/>
                <w:color w:val="000000" w:themeColor="text1"/>
                <w:kern w:val="0"/>
                <w:sz w:val="22"/>
                <w:szCs w:val="22"/>
                <w:lang w:bidi="ar"/>
                <w14:textFill>
                  <w14:solidFill>
                    <w14:schemeClr w14:val="tx1"/>
                  </w14:solidFill>
                </w14:textFill>
              </w:rPr>
              <w:t>二级指标</w:t>
            </w:r>
          </w:p>
        </w:tc>
        <w:tc>
          <w:tcPr>
            <w:tcW w:w="1766" w:type="pct"/>
            <w:shd w:val="clear" w:color="auto" w:fill="BEBEBE"/>
            <w:tcMar>
              <w:top w:w="12" w:type="dxa"/>
              <w:left w:w="12" w:type="dxa"/>
              <w:right w:w="12" w:type="dxa"/>
            </w:tcMar>
            <w:vAlign w:val="center"/>
          </w:tcPr>
          <w:p>
            <w:pPr>
              <w:widowControl/>
              <w:jc w:val="center"/>
              <w:textAlignment w:val="center"/>
              <w:rPr>
                <w:rFonts w:ascii="仿宋_GB2312" w:hAnsi="Times New Roman" w:eastAsia="仿宋_GB2312" w:cs="仿宋"/>
                <w:b/>
                <w:color w:val="000000" w:themeColor="text1"/>
                <w:sz w:val="22"/>
                <w:szCs w:val="22"/>
                <w14:textFill>
                  <w14:solidFill>
                    <w14:schemeClr w14:val="tx1"/>
                  </w14:solidFill>
                </w14:textFill>
              </w:rPr>
            </w:pPr>
            <w:r>
              <w:rPr>
                <w:rFonts w:hint="eastAsia" w:ascii="仿宋_GB2312" w:hAnsi="Times New Roman" w:eastAsia="仿宋_GB2312" w:cs="仿宋"/>
                <w:b/>
                <w:color w:val="000000" w:themeColor="text1"/>
                <w:kern w:val="0"/>
                <w:sz w:val="22"/>
                <w:szCs w:val="22"/>
                <w:lang w:bidi="ar"/>
                <w14:textFill>
                  <w14:solidFill>
                    <w14:schemeClr w14:val="tx1"/>
                  </w14:solidFill>
                </w14:textFill>
              </w:rPr>
              <w:t>三级指标</w:t>
            </w:r>
          </w:p>
        </w:tc>
        <w:tc>
          <w:tcPr>
            <w:tcW w:w="802" w:type="pct"/>
            <w:shd w:val="clear" w:color="auto" w:fill="BEBEBE"/>
            <w:tcMar>
              <w:top w:w="12" w:type="dxa"/>
              <w:left w:w="12" w:type="dxa"/>
              <w:right w:w="12" w:type="dxa"/>
            </w:tcMar>
            <w:vAlign w:val="center"/>
          </w:tcPr>
          <w:p>
            <w:pPr>
              <w:widowControl/>
              <w:jc w:val="center"/>
              <w:textAlignment w:val="center"/>
              <w:rPr>
                <w:rFonts w:ascii="仿宋_GB2312" w:hAnsi="Times New Roman" w:eastAsia="仿宋_GB2312" w:cs="仿宋"/>
                <w:b/>
                <w:color w:val="000000" w:themeColor="text1"/>
                <w:sz w:val="22"/>
                <w:szCs w:val="22"/>
                <w14:textFill>
                  <w14:solidFill>
                    <w14:schemeClr w14:val="tx1"/>
                  </w14:solidFill>
                </w14:textFill>
              </w:rPr>
            </w:pPr>
            <w:r>
              <w:rPr>
                <w:rFonts w:hint="eastAsia" w:ascii="仿宋_GB2312" w:hAnsi="Times New Roman" w:eastAsia="仿宋_GB2312" w:cs="仿宋"/>
                <w:b/>
                <w:color w:val="000000" w:themeColor="text1"/>
                <w:kern w:val="0"/>
                <w:sz w:val="22"/>
                <w:szCs w:val="22"/>
                <w:lang w:bidi="ar"/>
                <w14:textFill>
                  <w14:solidFill>
                    <w14:schemeClr w14:val="tx1"/>
                  </w14:solidFill>
                </w14:textFill>
              </w:rPr>
              <w:t>预期指标值</w:t>
            </w:r>
          </w:p>
        </w:tc>
        <w:tc>
          <w:tcPr>
            <w:tcW w:w="1150" w:type="pct"/>
            <w:shd w:val="clear" w:color="auto" w:fill="BEBEBE"/>
            <w:tcMar>
              <w:top w:w="12" w:type="dxa"/>
              <w:left w:w="12" w:type="dxa"/>
              <w:right w:w="12" w:type="dxa"/>
            </w:tcMar>
            <w:vAlign w:val="center"/>
          </w:tcPr>
          <w:p>
            <w:pPr>
              <w:widowControl/>
              <w:jc w:val="center"/>
              <w:textAlignment w:val="center"/>
              <w:rPr>
                <w:rFonts w:ascii="仿宋_GB2312" w:hAnsi="Times New Roman" w:eastAsia="仿宋_GB2312" w:cs="仿宋"/>
                <w:b/>
                <w:color w:val="000000" w:themeColor="text1"/>
                <w:kern w:val="0"/>
                <w:sz w:val="22"/>
                <w:szCs w:val="22"/>
                <w:lang w:bidi="ar"/>
                <w14:textFill>
                  <w14:solidFill>
                    <w14:schemeClr w14:val="tx1"/>
                  </w14:solidFill>
                </w14:textFill>
              </w:rPr>
            </w:pPr>
            <w:r>
              <w:rPr>
                <w:rFonts w:hint="eastAsia" w:ascii="仿宋_GB2312" w:hAnsi="Times New Roman" w:eastAsia="仿宋_GB2312" w:cs="仿宋_GB2312"/>
                <w:b/>
                <w:bCs/>
                <w:color w:val="000000" w:themeColor="text1"/>
                <w:sz w:val="22"/>
                <w:szCs w:val="22"/>
                <w14:textFill>
                  <w14:solidFill>
                    <w14:schemeClr w14:val="tx1"/>
                  </w14:solidFill>
                </w14:textFill>
              </w:rPr>
              <w:t>问题分析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9" w:type="pct"/>
            <w:vMerge w:val="restar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eastAsia="zh-Hans" w:bidi="ar"/>
                <w14:textFill>
                  <w14:solidFill>
                    <w14:schemeClr w14:val="tx1"/>
                  </w14:solidFill>
                </w14:textFill>
              </w:rPr>
              <w:t>项目完成</w:t>
            </w:r>
          </w:p>
        </w:tc>
        <w:tc>
          <w:tcPr>
            <w:tcW w:w="642" w:type="pct"/>
            <w:vMerge w:val="restar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eastAsia="zh-Hans" w:bidi="ar"/>
                <w14:textFill>
                  <w14:solidFill>
                    <w14:schemeClr w14:val="tx1"/>
                  </w14:solidFill>
                </w14:textFill>
              </w:rPr>
              <w:t>数量指标</w:t>
            </w:r>
          </w:p>
        </w:tc>
        <w:tc>
          <w:tcPr>
            <w:tcW w:w="1766"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bidi="ar"/>
                <w14:textFill>
                  <w14:solidFill>
                    <w14:schemeClr w14:val="tx1"/>
                  </w14:solidFill>
                </w14:textFill>
              </w:rPr>
              <w:t>专家实地调研次数</w:t>
            </w:r>
          </w:p>
        </w:tc>
        <w:tc>
          <w:tcPr>
            <w:tcW w:w="802"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eastAsia="zh-Hans" w:bidi="ar"/>
                <w14:textFill>
                  <w14:solidFill>
                    <w14:schemeClr w14:val="tx1"/>
                  </w14:solidFill>
                </w14:textFill>
              </w:rPr>
              <w:t>2.0次</w:t>
            </w:r>
          </w:p>
        </w:tc>
        <w:tc>
          <w:tcPr>
            <w:tcW w:w="1150"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9" w:type="pct"/>
            <w:vMerge w:val="continue"/>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p>
        </w:tc>
        <w:tc>
          <w:tcPr>
            <w:tcW w:w="642" w:type="pct"/>
            <w:vMerge w:val="continue"/>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bidi="ar"/>
                <w14:textFill>
                  <w14:solidFill>
                    <w14:schemeClr w14:val="tx1"/>
                  </w14:solidFill>
                </w14:textFill>
              </w:rPr>
            </w:pPr>
          </w:p>
        </w:tc>
        <w:tc>
          <w:tcPr>
            <w:tcW w:w="1766"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bidi="ar"/>
                <w14:textFill>
                  <w14:solidFill>
                    <w14:schemeClr w14:val="tx1"/>
                  </w14:solidFill>
                </w14:textFill>
              </w:rPr>
              <w:t>编制“十四五”综合交通运输发展规划</w:t>
            </w:r>
          </w:p>
        </w:tc>
        <w:tc>
          <w:tcPr>
            <w:tcW w:w="802"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bidi="ar"/>
                <w14:textFill>
                  <w14:solidFill>
                    <w14:schemeClr w14:val="tx1"/>
                  </w14:solidFill>
                </w14:textFill>
              </w:rPr>
              <w:t>1.0本/套</w:t>
            </w:r>
          </w:p>
        </w:tc>
        <w:tc>
          <w:tcPr>
            <w:tcW w:w="1150"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9" w:type="pct"/>
            <w:vMerge w:val="continue"/>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p>
        </w:tc>
        <w:tc>
          <w:tcPr>
            <w:tcW w:w="642"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eastAsia="zh-Hans" w:bidi="ar"/>
                <w14:textFill>
                  <w14:solidFill>
                    <w14:schemeClr w14:val="tx1"/>
                  </w14:solidFill>
                </w14:textFill>
              </w:rPr>
              <w:t>质量指标</w:t>
            </w:r>
          </w:p>
        </w:tc>
        <w:tc>
          <w:tcPr>
            <w:tcW w:w="1766"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bidi="ar"/>
                <w14:textFill>
                  <w14:solidFill>
                    <w14:schemeClr w14:val="tx1"/>
                  </w14:solidFill>
                </w14:textFill>
              </w:rPr>
              <w:t>规划编制通过率</w:t>
            </w:r>
          </w:p>
        </w:tc>
        <w:tc>
          <w:tcPr>
            <w:tcW w:w="802"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ascii="仿宋_GB2312" w:hAnsi="仿宋_GB2312" w:eastAsia="仿宋_GB2312" w:cs="仿宋_GB2312"/>
                <w:color w:val="000000" w:themeColor="text1"/>
                <w:kern w:val="0"/>
                <w:sz w:val="22"/>
                <w:szCs w:val="22"/>
                <w:lang w:eastAsia="zh-Hans" w:bidi="ar"/>
                <w14:textFill>
                  <w14:solidFill>
                    <w14:schemeClr w14:val="tx1"/>
                  </w14:solidFill>
                </w14:textFill>
              </w:rPr>
              <w:t>100%</w:t>
            </w:r>
          </w:p>
        </w:tc>
        <w:tc>
          <w:tcPr>
            <w:tcW w:w="1150"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9" w:type="pct"/>
            <w:vMerge w:val="continue"/>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p>
        </w:tc>
        <w:tc>
          <w:tcPr>
            <w:tcW w:w="642"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bidi="ar"/>
                <w14:textFill>
                  <w14:solidFill>
                    <w14:schemeClr w14:val="tx1"/>
                  </w14:solidFill>
                </w14:textFill>
              </w:rPr>
              <w:t>时效</w:t>
            </w:r>
            <w:r>
              <w:rPr>
                <w:rFonts w:ascii="仿宋_GB2312" w:hAnsi="仿宋_GB2312" w:eastAsia="仿宋_GB2312" w:cs="仿宋_GB2312"/>
                <w:color w:val="000000" w:themeColor="text1"/>
                <w:kern w:val="0"/>
                <w:sz w:val="22"/>
                <w:szCs w:val="22"/>
                <w:lang w:eastAsia="zh-Hans" w:bidi="ar"/>
                <w14:textFill>
                  <w14:solidFill>
                    <w14:schemeClr w14:val="tx1"/>
                  </w14:solidFill>
                </w14:textFill>
              </w:rPr>
              <w:t>指标</w:t>
            </w:r>
          </w:p>
        </w:tc>
        <w:tc>
          <w:tcPr>
            <w:tcW w:w="1766"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bidi="ar"/>
                <w14:textFill>
                  <w14:solidFill>
                    <w14:schemeClr w14:val="tx1"/>
                  </w14:solidFill>
                </w14:textFill>
              </w:rPr>
              <w:t>项目任务完成时限</w:t>
            </w:r>
          </w:p>
        </w:tc>
        <w:tc>
          <w:tcPr>
            <w:tcW w:w="802"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ascii="仿宋_GB2312" w:hAnsi="仿宋_GB2312" w:eastAsia="仿宋_GB2312" w:cs="仿宋_GB2312"/>
                <w:color w:val="000000" w:themeColor="text1"/>
                <w:kern w:val="0"/>
                <w:sz w:val="22"/>
                <w:szCs w:val="22"/>
                <w:lang w:bidi="ar"/>
                <w14:textFill>
                  <w14:solidFill>
                    <w14:schemeClr w14:val="tx1"/>
                  </w14:solidFill>
                </w14:textFill>
              </w:rPr>
              <w:t>2021/11/1</w:t>
            </w:r>
          </w:p>
        </w:tc>
        <w:tc>
          <w:tcPr>
            <w:tcW w:w="1150"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eastAsia="zh-Hans" w:bidi="ar"/>
                <w14:textFill>
                  <w14:solidFill>
                    <w14:schemeClr w14:val="tx1"/>
                  </w14:solidFill>
                </w14:textFill>
              </w:rPr>
              <w:t>未突出项目的及时程度和效率情况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9" w:type="pct"/>
            <w:vMerge w:val="continue"/>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p>
        </w:tc>
        <w:tc>
          <w:tcPr>
            <w:tcW w:w="642"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bidi="ar"/>
                <w14:textFill>
                  <w14:solidFill>
                    <w14:schemeClr w14:val="tx1"/>
                  </w14:solidFill>
                </w14:textFill>
              </w:rPr>
            </w:pPr>
            <w:r>
              <w:rPr>
                <w:rFonts w:ascii="仿宋_GB2312" w:hAnsi="仿宋_GB2312" w:eastAsia="仿宋_GB2312" w:cs="仿宋_GB2312"/>
                <w:color w:val="000000" w:themeColor="text1"/>
                <w:kern w:val="0"/>
                <w:sz w:val="22"/>
                <w:szCs w:val="22"/>
                <w:lang w:eastAsia="zh-Hans" w:bidi="ar"/>
                <w14:textFill>
                  <w14:solidFill>
                    <w14:schemeClr w14:val="tx1"/>
                  </w14:solidFill>
                </w14:textFill>
              </w:rPr>
              <w:t>成本指标</w:t>
            </w:r>
          </w:p>
        </w:tc>
        <w:tc>
          <w:tcPr>
            <w:tcW w:w="1766"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bidi="ar"/>
                <w14:textFill>
                  <w14:solidFill>
                    <w14:schemeClr w14:val="tx1"/>
                  </w14:solidFill>
                </w14:textFill>
              </w:rPr>
              <w:t>咨询服务费</w:t>
            </w:r>
          </w:p>
        </w:tc>
        <w:tc>
          <w:tcPr>
            <w:tcW w:w="802"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eastAsia="zh-Hans" w:bidi="ar"/>
                <w14:textFill>
                  <w14:solidFill>
                    <w14:schemeClr w14:val="tx1"/>
                  </w14:solidFill>
                </w14:textFill>
              </w:rPr>
              <w:t>1200000.0元</w:t>
            </w:r>
          </w:p>
        </w:tc>
        <w:tc>
          <w:tcPr>
            <w:tcW w:w="1150"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bidi="ar"/>
                <w14:textFill>
                  <w14:solidFill>
                    <w14:schemeClr w14:val="tx1"/>
                  </w14:solidFill>
                </w14:textFill>
              </w:rPr>
              <w:t>未设定分项成本控制数</w:t>
            </w:r>
            <w:r>
              <w:rPr>
                <w:rFonts w:ascii="仿宋_GB2312" w:hAnsi="仿宋_GB2312" w:eastAsia="仿宋_GB2312" w:cs="仿宋_GB2312"/>
                <w:color w:val="000000" w:themeColor="text1"/>
                <w:kern w:val="0"/>
                <w:sz w:val="22"/>
                <w:szCs w:val="22"/>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9"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eastAsia="zh-Hans" w:bidi="ar"/>
                <w14:textFill>
                  <w14:solidFill>
                    <w14:schemeClr w14:val="tx1"/>
                  </w14:solidFill>
                </w14:textFill>
              </w:rPr>
              <w:t>项目效益指标</w:t>
            </w:r>
          </w:p>
        </w:tc>
        <w:tc>
          <w:tcPr>
            <w:tcW w:w="642"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bidi="ar"/>
                <w14:textFill>
                  <w14:solidFill>
                    <w14:schemeClr w14:val="tx1"/>
                  </w14:solidFill>
                </w14:textFill>
              </w:rPr>
              <w:t>可持续影响指标</w:t>
            </w:r>
          </w:p>
        </w:tc>
        <w:tc>
          <w:tcPr>
            <w:tcW w:w="1766" w:type="pct"/>
            <w:shd w:val="clear" w:color="auto" w:fill="auto"/>
            <w:tcMar>
              <w:top w:w="12" w:type="dxa"/>
              <w:left w:w="12" w:type="dxa"/>
              <w:right w:w="12" w:type="dxa"/>
            </w:tcMar>
          </w:tcPr>
          <w:p>
            <w:pPr>
              <w:widowControl/>
              <w:spacing w:line="320" w:lineRule="exact"/>
              <w:textAlignment w:val="center"/>
              <w:rPr>
                <w:rFonts w:ascii="仿宋_GB2312" w:hAnsi="仿宋_GB2312" w:eastAsia="仿宋_GB2312" w:cs="仿宋_GB2312"/>
                <w:color w:val="000000" w:themeColor="text1"/>
                <w:kern w:val="0"/>
                <w:sz w:val="22"/>
                <w:szCs w:val="22"/>
                <w:lang w:bidi="ar"/>
                <w14:textFill>
                  <w14:solidFill>
                    <w14:schemeClr w14:val="tx1"/>
                  </w14:solidFill>
                </w14:textFill>
              </w:rPr>
            </w:pPr>
            <w:r>
              <w:rPr>
                <w:rFonts w:hint="eastAsia" w:ascii="仿宋_GB2312" w:eastAsia="仿宋_GB2312"/>
                <w:sz w:val="22"/>
                <w:szCs w:val="22"/>
              </w:rPr>
              <w:t>推动我市交通运输高质量发展</w:t>
            </w:r>
          </w:p>
        </w:tc>
        <w:tc>
          <w:tcPr>
            <w:tcW w:w="802" w:type="pct"/>
            <w:shd w:val="clear" w:color="auto" w:fill="auto"/>
            <w:tcMar>
              <w:top w:w="12" w:type="dxa"/>
              <w:left w:w="12" w:type="dxa"/>
              <w:right w:w="12" w:type="dxa"/>
            </w:tcMar>
          </w:tcPr>
          <w:p>
            <w:pPr>
              <w:widowControl/>
              <w:spacing w:line="320" w:lineRule="exact"/>
              <w:textAlignment w:val="center"/>
              <w:rPr>
                <w:rFonts w:ascii="仿宋_GB2312" w:hAnsi="仿宋_GB2312" w:eastAsia="仿宋_GB2312" w:cs="仿宋_GB2312"/>
                <w:color w:val="000000" w:themeColor="text1"/>
                <w:kern w:val="0"/>
                <w:sz w:val="22"/>
                <w:szCs w:val="22"/>
                <w:lang w:bidi="ar"/>
                <w14:textFill>
                  <w14:solidFill>
                    <w14:schemeClr w14:val="tx1"/>
                  </w14:solidFill>
                </w14:textFill>
              </w:rPr>
            </w:pPr>
            <w:r>
              <w:rPr>
                <w:rFonts w:hint="eastAsia" w:ascii="仿宋_GB2312" w:eastAsia="仿宋_GB2312"/>
                <w:sz w:val="22"/>
                <w:szCs w:val="22"/>
              </w:rPr>
              <w:t>有效推动</w:t>
            </w:r>
          </w:p>
        </w:tc>
        <w:tc>
          <w:tcPr>
            <w:tcW w:w="1150"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9"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eastAsia="zh-Hans" w:bidi="ar"/>
                <w14:textFill>
                  <w14:solidFill>
                    <w14:schemeClr w14:val="tx1"/>
                  </w14:solidFill>
                </w14:textFill>
              </w:rPr>
              <w:t>满意度指标</w:t>
            </w:r>
          </w:p>
        </w:tc>
        <w:tc>
          <w:tcPr>
            <w:tcW w:w="642"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eastAsia="zh-Hans" w:bidi="ar"/>
                <w14:textFill>
                  <w14:solidFill>
                    <w14:schemeClr w14:val="tx1"/>
                  </w14:solidFill>
                </w14:textFill>
              </w:rPr>
              <w:t>服务对象满意度指标</w:t>
            </w:r>
          </w:p>
        </w:tc>
        <w:tc>
          <w:tcPr>
            <w:tcW w:w="1766"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eastAsia="zh-Hans"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eastAsia="zh-Hans" w:bidi="ar"/>
                <w14:textFill>
                  <w14:solidFill>
                    <w14:schemeClr w14:val="tx1"/>
                  </w14:solidFill>
                </w14:textFill>
              </w:rPr>
              <w:t>编制工作满意度</w:t>
            </w:r>
          </w:p>
        </w:tc>
        <w:tc>
          <w:tcPr>
            <w:tcW w:w="802"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bidi="ar"/>
                <w14:textFill>
                  <w14:solidFill>
                    <w14:schemeClr w14:val="tx1"/>
                  </w14:solidFill>
                </w14:textFill>
              </w:rPr>
            </w:pPr>
            <w:r>
              <w:rPr>
                <w:rFonts w:ascii="仿宋_GB2312" w:hAnsi="仿宋_GB2312" w:eastAsia="仿宋_GB2312" w:cs="仿宋_GB2312"/>
                <w:color w:val="000000" w:themeColor="text1"/>
                <w:kern w:val="0"/>
                <w:sz w:val="22"/>
                <w:szCs w:val="22"/>
                <w:lang w:eastAsia="zh-Hans" w:bidi="ar"/>
                <w14:textFill>
                  <w14:solidFill>
                    <w14:schemeClr w14:val="tx1"/>
                  </w14:solidFill>
                </w14:textFill>
              </w:rPr>
              <w:t>95%</w:t>
            </w:r>
          </w:p>
        </w:tc>
        <w:tc>
          <w:tcPr>
            <w:tcW w:w="1150" w:type="pct"/>
            <w:shd w:val="clear" w:color="auto" w:fill="auto"/>
            <w:tcMar>
              <w:top w:w="12" w:type="dxa"/>
              <w:left w:w="12" w:type="dxa"/>
              <w:right w:w="12" w:type="dxa"/>
            </w:tcMar>
            <w:vAlign w:val="center"/>
          </w:tcPr>
          <w:p>
            <w:pPr>
              <w:widowControl/>
              <w:spacing w:line="320" w:lineRule="exact"/>
              <w:textAlignment w:val="center"/>
              <w:rPr>
                <w:rFonts w:ascii="仿宋_GB2312" w:hAnsi="仿宋_GB2312" w:eastAsia="仿宋_GB2312" w:cs="仿宋_GB2312"/>
                <w:color w:val="000000" w:themeColor="text1"/>
                <w:kern w:val="0"/>
                <w:sz w:val="22"/>
                <w:szCs w:val="22"/>
                <w:lang w:bidi="ar"/>
                <w14:textFill>
                  <w14:solidFill>
                    <w14:schemeClr w14:val="tx1"/>
                  </w14:solidFill>
                </w14:textFill>
              </w:rPr>
            </w:pPr>
            <w:r>
              <w:rPr>
                <w:rFonts w:hint="eastAsia" w:ascii="仿宋_GB2312" w:hAnsi="仿宋_GB2312" w:eastAsia="仿宋_GB2312" w:cs="仿宋_GB2312"/>
                <w:color w:val="000000" w:themeColor="text1"/>
                <w:kern w:val="0"/>
                <w:sz w:val="22"/>
                <w:szCs w:val="22"/>
                <w:lang w:eastAsia="zh-Hans" w:bidi="ar"/>
                <w14:textFill>
                  <w14:solidFill>
                    <w14:schemeClr w14:val="tx1"/>
                  </w14:solidFill>
                </w14:textFill>
              </w:rPr>
              <w:t>满意度指标未针对直接受益群体设置。</w:t>
            </w:r>
          </w:p>
        </w:tc>
      </w:tr>
    </w:tbl>
    <w:p>
      <w:pPr>
        <w:spacing w:line="560" w:lineRule="exact"/>
        <w:rPr>
          <w:rFonts w:ascii="仿宋_GB2312" w:hAnsi="Times New Roman" w:eastAsia="仿宋_GB2312"/>
          <w:b/>
          <w:color w:val="000000" w:themeColor="text1"/>
          <w:kern w:val="0"/>
          <w:sz w:val="32"/>
          <w:szCs w:val="32"/>
          <w14:textFill>
            <w14:solidFill>
              <w14:schemeClr w14:val="tx1"/>
            </w14:solidFill>
          </w14:textFill>
        </w:rPr>
      </w:pPr>
    </w:p>
    <w:p>
      <w:pPr>
        <w:pStyle w:val="85"/>
      </w:pPr>
      <w:bookmarkStart w:id="101" w:name="_Toc111753743"/>
      <w:bookmarkStart w:id="102" w:name="_Toc111833612"/>
      <w:r>
        <w:rPr>
          <w:rFonts w:hint="eastAsia"/>
        </w:rPr>
        <w:t>（二）项目</w:t>
      </w:r>
      <w:bookmarkEnd w:id="99"/>
      <w:bookmarkEnd w:id="101"/>
      <w:r>
        <w:rPr>
          <w:rFonts w:hint="eastAsia"/>
        </w:rPr>
        <w:t>管理分析</w:t>
      </w:r>
      <w:bookmarkEnd w:id="102"/>
    </w:p>
    <w:p>
      <w:pPr>
        <w:widowControl/>
        <w:overflowPunct w:val="0"/>
        <w:autoSpaceDE w:val="0"/>
        <w:autoSpaceDN w:val="0"/>
        <w:adjustRightInd w:val="0"/>
        <w:spacing w:line="560" w:lineRule="exact"/>
        <w:ind w:firstLine="643" w:firstLineChars="200"/>
        <w:textAlignment w:val="baseline"/>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专项资金管理办法比较为健全，资金支出合规。</w:t>
      </w:r>
      <w:r>
        <w:rPr>
          <w:rFonts w:hint="eastAsia" w:ascii="仿宋_GB2312" w:hAnsi="仿宋_GB2312" w:eastAsia="仿宋_GB2312" w:cs="仿宋_GB2312"/>
          <w:color w:val="000000" w:themeColor="text1"/>
          <w:kern w:val="0"/>
          <w:sz w:val="32"/>
          <w:szCs w:val="32"/>
          <w14:textFill>
            <w14:solidFill>
              <w14:schemeClr w14:val="tx1"/>
            </w14:solidFill>
          </w14:textFill>
        </w:rPr>
        <w:t>经</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调研</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严格遵守《吐鲁番市交通运输通局财务管理制度》</w:t>
      </w:r>
      <w:r>
        <w:rPr>
          <w:rFonts w:hint="eastAsia" w:ascii="仿宋_GB2312" w:hAnsi="仿宋_GB2312" w:eastAsia="仿宋_GB2312" w:cs="仿宋_GB2312"/>
          <w:color w:val="000000" w:themeColor="text1"/>
          <w:kern w:val="0"/>
          <w:sz w:val="32"/>
          <w:szCs w:val="32"/>
          <w:lang w:eastAsia="zh-Hans" w:bidi="ar"/>
          <w14:textFill>
            <w14:solidFill>
              <w14:schemeClr w14:val="tx1"/>
            </w14:solidFill>
          </w14:textFill>
        </w:rPr>
        <w:t>要求</w:t>
      </w:r>
      <w:r>
        <w:rPr>
          <w:rFonts w:hint="eastAsia" w:ascii="仿宋_GB2312" w:hAnsi="仿宋_GB2312" w:eastAsia="仿宋_GB2312" w:cs="仿宋_GB2312"/>
          <w:color w:val="000000" w:themeColor="text1"/>
          <w:kern w:val="0"/>
          <w:sz w:val="32"/>
          <w:szCs w:val="32"/>
          <w14:textFill>
            <w14:solidFill>
              <w14:schemeClr w14:val="tx1"/>
            </w14:solidFill>
          </w14:textFill>
        </w:rPr>
        <w:t>，加强资金使用管理，确保资金使用与绩效监管到位，资金支出合规</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切实发挥资金使用效益。</w:t>
      </w:r>
    </w:p>
    <w:p>
      <w:pPr>
        <w:widowControl/>
        <w:overflowPunct w:val="0"/>
        <w:autoSpaceDE w:val="0"/>
        <w:autoSpaceDN w:val="0"/>
        <w:adjustRightInd w:val="0"/>
        <w:spacing w:line="560" w:lineRule="exact"/>
        <w:ind w:firstLine="643"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项目业务管理制度建设，制度执行到位。</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根据《吐鲁番“十四五”综合交通运输发展规划研究（工作大纲）》</w:t>
      </w:r>
      <w:r>
        <w:rPr>
          <w:rFonts w:hint="eastAsia" w:ascii="仿宋_GB2312" w:hAnsi="仿宋_GB2312" w:eastAsia="仿宋_GB2312" w:cs="仿宋_GB2312"/>
          <w:color w:val="000000" w:themeColor="text1"/>
          <w:kern w:val="0"/>
          <w:sz w:val="32"/>
          <w:szCs w:val="32"/>
          <w14:textFill>
            <w14:solidFill>
              <w14:schemeClr w14:val="tx1"/>
            </w14:solidFill>
          </w14:textFill>
        </w:rPr>
        <w:t>，业务制度完整、明确且具有操作性。项目按照相关业务制度执行，保存了完整的过程资料。</w:t>
      </w:r>
    </w:p>
    <w:p>
      <w:pPr>
        <w:pStyle w:val="85"/>
      </w:pPr>
      <w:bookmarkStart w:id="103" w:name="_Toc111753744"/>
      <w:bookmarkStart w:id="104" w:name="_Toc30163846"/>
      <w:bookmarkStart w:id="105" w:name="_Toc111833613"/>
      <w:r>
        <w:rPr>
          <w:rFonts w:hint="eastAsia"/>
        </w:rPr>
        <w:t>（三）项</w:t>
      </w:r>
      <w:bookmarkEnd w:id="103"/>
      <w:bookmarkEnd w:id="104"/>
      <w:r>
        <w:rPr>
          <w:rFonts w:hint="eastAsia"/>
        </w:rPr>
        <w:t>目绩效分析</w:t>
      </w:r>
      <w:bookmarkEnd w:id="105"/>
    </w:p>
    <w:p>
      <w:pPr>
        <w:widowControl/>
        <w:overflowPunct w:val="0"/>
        <w:autoSpaceDE w:val="0"/>
        <w:autoSpaceDN w:val="0"/>
        <w:adjustRightInd w:val="0"/>
        <w:spacing w:line="560" w:lineRule="exact"/>
        <w:ind w:firstLine="643" w:firstLineChars="200"/>
        <w:textAlignment w:val="baseline"/>
        <w:rPr>
          <w:rFonts w:ascii="Times New Roman" w:hAnsi="Times New Roman" w:eastAsia="仿宋_GB2312"/>
          <w:kern w:val="0"/>
          <w:sz w:val="32"/>
          <w:szCs w:val="32"/>
        </w:rPr>
      </w:pPr>
      <w:r>
        <w:rPr>
          <w:rFonts w:hint="eastAsia" w:ascii="Times New Roman" w:hAnsi="Times New Roman" w:eastAsia="仿宋_GB2312"/>
          <w:b/>
          <w:bCs/>
          <w:kern w:val="0"/>
          <w:sz w:val="32"/>
          <w:szCs w:val="32"/>
        </w:rPr>
        <w:t>保障了当地交通运输高质量发展；</w:t>
      </w:r>
      <w:r>
        <w:rPr>
          <w:rFonts w:hint="eastAsia" w:ascii="Times New Roman" w:hAnsi="Times New Roman" w:eastAsia="仿宋_GB2312"/>
          <w:kern w:val="0"/>
          <w:sz w:val="32"/>
          <w:szCs w:val="32"/>
        </w:rPr>
        <w:t>经核查，《</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吐鲁番“十四五”综合交通运输发展规划》具有合理性、前瞻性、</w:t>
      </w:r>
      <w:r>
        <w:rPr>
          <w:rFonts w:hint="eastAsia" w:ascii="仿宋_GB2312" w:hAnsi="仿宋_GB2312" w:eastAsia="仿宋_GB2312" w:cs="仿宋_GB2312"/>
          <w:color w:val="000000" w:themeColor="text1"/>
          <w:kern w:val="0"/>
          <w:sz w:val="32"/>
          <w:szCs w:val="32"/>
          <w14:textFill>
            <w14:solidFill>
              <w14:schemeClr w14:val="tx1"/>
            </w14:solidFill>
          </w14:textFill>
        </w:rPr>
        <w:t>科学性、实用性。发现了吐鲁番市交通发展存在的一些问题和不足，提出了规划思路及目标.为吐鲁番市综合交通“十四五”时期发展方向，为构建安全、便捷、高效、绿色、经济的现代化综合交通体系奠定基础，为推动吐鲁番高质量发展、迈向长治久安提供了有效保障。</w:t>
      </w:r>
    </w:p>
    <w:p>
      <w:pPr>
        <w:pStyle w:val="86"/>
        <w:rPr>
          <w:b/>
        </w:rPr>
      </w:pPr>
      <w:bookmarkStart w:id="106" w:name="_Toc111753746"/>
      <w:bookmarkStart w:id="107" w:name="_Toc111833614"/>
      <w:r>
        <w:rPr>
          <w:rFonts w:hint="eastAsia"/>
        </w:rPr>
        <w:t>五、</w:t>
      </w:r>
      <w:bookmarkEnd w:id="91"/>
      <w:r>
        <w:rPr>
          <w:rFonts w:hint="eastAsia"/>
        </w:rPr>
        <w:t>存在的问题</w:t>
      </w:r>
      <w:bookmarkEnd w:id="92"/>
      <w:bookmarkEnd w:id="106"/>
      <w:bookmarkEnd w:id="107"/>
      <w:bookmarkStart w:id="108" w:name="_Toc30163850"/>
      <w:bookmarkStart w:id="109" w:name="_Toc31650"/>
      <w:bookmarkStart w:id="110" w:name="_Toc9145"/>
    </w:p>
    <w:p>
      <w:pPr>
        <w:pStyle w:val="85"/>
        <w:outlineLvl w:val="9"/>
        <w:rPr>
          <w:rFonts w:ascii="楷体" w:hAnsi="楷体" w:cs="楷体"/>
          <w:bCs/>
        </w:rPr>
      </w:pPr>
      <w:bookmarkStart w:id="111" w:name="_Toc111757013"/>
      <w:bookmarkStart w:id="112" w:name="_Toc111325870"/>
      <w:bookmarkStart w:id="113" w:name="_Toc111753748"/>
      <w:r>
        <w:rPr>
          <w:rFonts w:hint="eastAsia" w:ascii="楷体" w:hAnsi="楷体" w:cs="楷体"/>
          <w:bCs/>
          <w:lang w:eastAsia="zh-Hans"/>
        </w:rPr>
        <w:t>（一）绩效目标编制不够科学、</w:t>
      </w:r>
      <w:r>
        <w:rPr>
          <w:rFonts w:hint="eastAsia" w:ascii="楷体" w:hAnsi="楷体" w:cs="楷体"/>
          <w:bCs/>
        </w:rPr>
        <w:t>缺乏</w:t>
      </w:r>
      <w:r>
        <w:rPr>
          <w:rFonts w:hint="eastAsia" w:ascii="楷体" w:hAnsi="楷体" w:cs="楷体"/>
          <w:bCs/>
          <w:lang w:eastAsia="zh-Hans"/>
        </w:rPr>
        <w:t>合理</w:t>
      </w:r>
      <w:r>
        <w:rPr>
          <w:rFonts w:hint="eastAsia" w:ascii="楷体" w:hAnsi="楷体" w:cs="楷体"/>
          <w:bCs/>
        </w:rPr>
        <w:t>性</w:t>
      </w:r>
    </w:p>
    <w:p>
      <w:pPr>
        <w:pStyle w:val="85"/>
        <w:ind w:firstLine="640"/>
        <w:outlineLvl w:val="9"/>
      </w:pPr>
      <w:r>
        <w:rPr>
          <w:rFonts w:hint="eastAsia" w:ascii="仿宋_GB2312" w:eastAsia="仿宋_GB2312"/>
          <w:b w:val="0"/>
          <w:bCs/>
        </w:rPr>
        <w:t>根据吐鲁番市交通运输局提供的绩效目标表，本项目绩效目标设置</w:t>
      </w:r>
      <w:r>
        <w:rPr>
          <w:rFonts w:hint="eastAsia" w:eastAsia="仿宋_GB2312"/>
          <w:b w:val="0"/>
          <w:lang w:eastAsia="zh-Hans"/>
        </w:rPr>
        <w:t>不完整，部分绩效目标不够明确。项目设置</w:t>
      </w:r>
      <w:r>
        <w:rPr>
          <w:rFonts w:hint="eastAsia" w:ascii="仿宋_GB2312" w:eastAsia="仿宋_GB2312"/>
          <w:b w:val="0"/>
          <w:bCs/>
        </w:rPr>
        <w:t>了产出目标（含数量、质量、时效、成本）、可持续影响目标、满意度目标。部分绩效目标设置不合理，如：时效指标：项目任务完成时限，预期指标值为2021年11月，根据工作大纲及合同9月中旬提交报告终稿，未突出项目的及时程度和效率情况；成本指标：咨询服务费，未设定分项成本控制数；服务对象满意度指标设置不合理，指向不够明确，未体现项目直接受益对象。</w:t>
      </w:r>
      <w:bookmarkEnd w:id="111"/>
      <w:bookmarkEnd w:id="112"/>
      <w:bookmarkEnd w:id="113"/>
    </w:p>
    <w:p>
      <w:pPr>
        <w:pStyle w:val="85"/>
        <w:outlineLvl w:val="9"/>
      </w:pPr>
      <w:r>
        <w:rPr>
          <w:rFonts w:hint="eastAsia"/>
        </w:rPr>
        <w:t>（二）项目绩效自评工作不够真实、客观</w:t>
      </w:r>
    </w:p>
    <w:p>
      <w:pPr>
        <w:pStyle w:val="85"/>
        <w:ind w:firstLine="640"/>
        <w:outlineLvl w:val="9"/>
        <w:rPr>
          <w:rFonts w:eastAsia="仿宋_GB2312"/>
          <w:b w:val="0"/>
          <w:bCs/>
          <w:color w:val="auto"/>
        </w:rPr>
      </w:pPr>
      <w:r>
        <w:rPr>
          <w:rFonts w:hint="eastAsia" w:eastAsia="仿宋_GB2312"/>
          <w:b w:val="0"/>
          <w:bCs/>
          <w:color w:val="auto"/>
        </w:rPr>
        <w:t>根据《吐鲁番“十四五”综合交通运输发展规划》规划编制过程等项目资料核查可知，2021年3月下旬，课题组赴吐鲁番调研，与</w:t>
      </w:r>
      <w:r>
        <w:rPr>
          <w:rFonts w:hint="eastAsia" w:ascii="仿宋_GB2312" w:eastAsia="仿宋_GB2312"/>
          <w:b w:val="0"/>
          <w:bCs/>
        </w:rPr>
        <w:t>吐鲁番市交通运输局提供的绩效自评表中“专家实地调研次数2次”存在偏差。</w:t>
      </w:r>
    </w:p>
    <w:bookmarkEnd w:id="108"/>
    <w:bookmarkEnd w:id="109"/>
    <w:p>
      <w:pPr>
        <w:pStyle w:val="86"/>
        <w:rPr>
          <w:b/>
        </w:rPr>
      </w:pPr>
      <w:bookmarkStart w:id="114" w:name="_Toc30163852"/>
      <w:bookmarkStart w:id="115" w:name="_Toc111833615"/>
      <w:bookmarkStart w:id="116" w:name="_Toc111753749"/>
      <w:bookmarkStart w:id="117" w:name="_Toc111325871"/>
      <w:r>
        <w:rPr>
          <w:rFonts w:hint="eastAsia"/>
        </w:rPr>
        <w:t>六、相关建议</w:t>
      </w:r>
      <w:bookmarkEnd w:id="93"/>
      <w:bookmarkEnd w:id="110"/>
      <w:bookmarkEnd w:id="114"/>
      <w:bookmarkEnd w:id="115"/>
      <w:bookmarkEnd w:id="116"/>
      <w:bookmarkEnd w:id="117"/>
    </w:p>
    <w:p>
      <w:pPr>
        <w:widowControl/>
        <w:overflowPunct w:val="0"/>
        <w:autoSpaceDE w:val="0"/>
        <w:autoSpaceDN w:val="0"/>
        <w:adjustRightInd w:val="0"/>
        <w:spacing w:line="560" w:lineRule="exact"/>
        <w:ind w:firstLine="643" w:firstLineChars="200"/>
        <w:textAlignment w:val="baseline"/>
        <w:outlineLvl w:val="1"/>
        <w:rPr>
          <w:rFonts w:ascii="Times New Roman" w:hAnsi="Times New Roman" w:eastAsia="楷体"/>
          <w:b/>
          <w:kern w:val="0"/>
          <w:sz w:val="32"/>
          <w:szCs w:val="32"/>
        </w:rPr>
      </w:pPr>
      <w:bookmarkStart w:id="118" w:name="_Toc30163854"/>
      <w:bookmarkStart w:id="119" w:name="_Toc111833616"/>
      <w:bookmarkStart w:id="120" w:name="_Toc111757015"/>
      <w:bookmarkStart w:id="121" w:name="_Toc111753750"/>
      <w:r>
        <w:rPr>
          <w:rFonts w:hint="eastAsia" w:ascii="Times New Roman" w:hAnsi="Times New Roman" w:eastAsia="楷体"/>
          <w:b/>
          <w:kern w:val="0"/>
          <w:sz w:val="32"/>
          <w:szCs w:val="32"/>
        </w:rPr>
        <w:t>（一）提升绩效目标编制水平</w:t>
      </w:r>
      <w:bookmarkEnd w:id="118"/>
      <w:r>
        <w:rPr>
          <w:rFonts w:hint="eastAsia" w:ascii="Times New Roman" w:hAnsi="Times New Roman" w:eastAsia="楷体"/>
          <w:b/>
          <w:kern w:val="0"/>
          <w:sz w:val="32"/>
          <w:szCs w:val="32"/>
        </w:rPr>
        <w:t>。</w:t>
      </w:r>
      <w:bookmarkEnd w:id="119"/>
      <w:bookmarkEnd w:id="120"/>
      <w:bookmarkEnd w:id="121"/>
    </w:p>
    <w:p>
      <w:pPr>
        <w:widowControl/>
        <w:overflowPunct w:val="0"/>
        <w:autoSpaceDE w:val="0"/>
        <w:autoSpaceDN w:val="0"/>
        <w:adjustRightInd w:val="0"/>
        <w:spacing w:line="560" w:lineRule="exact"/>
        <w:ind w:firstLine="640" w:firstLineChars="200"/>
        <w:textAlignment w:val="baseline"/>
        <w:rPr>
          <w:rFonts w:ascii="Times New Roman" w:hAnsi="Times New Roman" w:eastAsia="仿宋_GB2312"/>
          <w:bCs/>
          <w:kern w:val="0"/>
          <w:sz w:val="32"/>
          <w:szCs w:val="32"/>
        </w:rPr>
      </w:pPr>
      <w:bookmarkStart w:id="122" w:name="_Toc16615"/>
      <w:r>
        <w:rPr>
          <w:rFonts w:hint="eastAsia" w:ascii="Times New Roman" w:hAnsi="Times New Roman" w:eastAsia="仿宋_GB2312"/>
          <w:bCs/>
          <w:kern w:val="0"/>
          <w:sz w:val="32"/>
          <w:szCs w:val="32"/>
        </w:rPr>
        <w:t>针对绩效目标合理性不足的问题，建议吐鲁番市交通运输局加强项目目标研究，提升目标申报水平。首先，在项目绩效目标申报阶段，应认真研究项目特点，从明确性、可衡量性、可实现性、相关性和时限性等方面着手，设置与项目匹配的指标，更好地凸显项目绩效。建议加大绩效管理知识的培训力度，提升对绩效理念的认知。</w:t>
      </w:r>
      <w:bookmarkEnd w:id="122"/>
    </w:p>
    <w:p>
      <w:pPr>
        <w:pStyle w:val="85"/>
      </w:pPr>
      <w:bookmarkStart w:id="123" w:name="_Toc111833617"/>
      <w:r>
        <w:rPr>
          <w:rFonts w:hint="eastAsia"/>
        </w:rPr>
        <w:t>（二）加强项目绩效自评工作</w:t>
      </w:r>
      <w:bookmarkEnd w:id="123"/>
    </w:p>
    <w:p>
      <w:pPr>
        <w:pStyle w:val="85"/>
        <w:ind w:firstLine="640"/>
        <w:rPr>
          <w:rFonts w:eastAsia="仿宋_GB2312"/>
          <w:b w:val="0"/>
          <w:bCs/>
          <w:color w:val="auto"/>
        </w:rPr>
      </w:pPr>
      <w:bookmarkStart w:id="124" w:name="_Toc111833618"/>
      <w:r>
        <w:rPr>
          <w:rFonts w:hint="eastAsia" w:eastAsia="仿宋_GB2312"/>
          <w:b w:val="0"/>
          <w:bCs/>
          <w:color w:val="auto"/>
        </w:rPr>
        <w:t>建议吐鲁番市交通运输局针对项目加强项目绩效自评工作，并在项目建设完成后尽快组织绩效自评相关工作，在开展绩效自评工作时，应及时与项目相关负责人进行沟通，严格按项目实际完成情况出具自评表、自评报告，且实际完成情况应写明具体数值。</w:t>
      </w:r>
      <w:bookmarkEnd w:id="124"/>
      <w:bookmarkStart w:id="125" w:name="_Toc111753753"/>
      <w:bookmarkStart w:id="126" w:name="_Toc30163857"/>
    </w:p>
    <w:p>
      <w:pPr>
        <w:pStyle w:val="85"/>
        <w:ind w:firstLine="640"/>
        <w:rPr>
          <w:b w:val="0"/>
        </w:rPr>
      </w:pPr>
      <w:bookmarkStart w:id="127" w:name="_Toc111833619"/>
      <w:r>
        <w:rPr>
          <w:rFonts w:hint="eastAsia" w:ascii="黑体" w:hAnsi="黑体" w:eastAsia="黑体"/>
          <w:b w:val="0"/>
          <w:szCs w:val="28"/>
        </w:rPr>
        <w:t>七、其他需要说明的问题</w:t>
      </w:r>
      <w:bookmarkEnd w:id="30"/>
      <w:bookmarkEnd w:id="125"/>
      <w:bookmarkEnd w:id="126"/>
      <w:bookmarkEnd w:id="127"/>
    </w:p>
    <w:p>
      <w:pPr>
        <w:spacing w:line="560" w:lineRule="exact"/>
        <w:ind w:firstLine="640" w:firstLineChars="200"/>
        <w:rPr>
          <w:rFonts w:ascii="Times New Roman" w:hAnsi="Times New Roman" w:eastAsia="仿宋_GB2312"/>
          <w:bCs/>
          <w:kern w:val="0"/>
          <w:sz w:val="32"/>
          <w:szCs w:val="32"/>
        </w:rPr>
      </w:pPr>
      <w:r>
        <w:rPr>
          <w:rFonts w:hint="eastAsia" w:ascii="Times New Roman" w:hAnsi="Times New Roman" w:eastAsia="仿宋_GB2312"/>
          <w:bCs/>
          <w:kern w:val="0"/>
          <w:sz w:val="32"/>
          <w:szCs w:val="32"/>
        </w:rPr>
        <w:t>为了准确反映项目管理情况及实施效果，评价组向吐鲁番市交通运输局项目负责方发送了所需项目材料，但是由于项目时间紧部分指标材料提供不完整导致总体扣分情况。针对上述情况，评价组在对有限的数据进行分析的基础上，结合对相关部门，对本项目的实施效果进行了客观评价。</w:t>
      </w:r>
    </w:p>
    <w:p>
      <w:pPr>
        <w:sectPr>
          <w:footerReference r:id="rId7" w:type="default"/>
          <w:pgSz w:w="11906" w:h="16838"/>
          <w:pgMar w:top="2155" w:right="1531" w:bottom="1985" w:left="1531" w:header="851" w:footer="1701" w:gutter="0"/>
          <w:pgNumType w:start="5"/>
          <w:cols w:space="0" w:num="1"/>
          <w:docGrid w:linePitch="312" w:charSpace="0"/>
        </w:sectPr>
      </w:pPr>
    </w:p>
    <w:p>
      <w:pPr>
        <w:pStyle w:val="86"/>
        <w:rPr>
          <w:rFonts w:ascii="黑体" w:hAnsi="黑体"/>
        </w:rPr>
      </w:pPr>
      <w:bookmarkStart w:id="128" w:name="_Toc111833620"/>
      <w:bookmarkStart w:id="129" w:name="_Toc111753754"/>
      <w:r>
        <w:rPr>
          <w:rFonts w:hint="eastAsia" w:ascii="黑体" w:hAnsi="黑体"/>
        </w:rPr>
        <w:t>附件1  综合评分表</w:t>
      </w:r>
      <w:bookmarkEnd w:id="128"/>
      <w:bookmarkEnd w:id="129"/>
    </w:p>
    <w:tbl>
      <w:tblPr>
        <w:tblStyle w:val="13"/>
        <w:tblpPr w:leftFromText="180" w:rightFromText="180" w:vertAnchor="page" w:horzAnchor="page" w:tblpX="2154" w:tblpY="24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156"/>
        <w:gridCol w:w="7"/>
        <w:gridCol w:w="1134"/>
        <w:gridCol w:w="709"/>
        <w:gridCol w:w="1134"/>
        <w:gridCol w:w="992"/>
        <w:gridCol w:w="1134"/>
        <w:gridCol w:w="1134"/>
        <w:gridCol w:w="2432"/>
        <w:gridCol w:w="770"/>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100" w:type="dxa"/>
            <w:shd w:val="clear" w:color="000000" w:fill="BEBEBE"/>
            <w:vAlign w:val="center"/>
          </w:tcPr>
          <w:p>
            <w:pPr>
              <w:widowControl/>
              <w:spacing w:line="580" w:lineRule="exact"/>
              <w:jc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一级指标</w:t>
            </w:r>
          </w:p>
        </w:tc>
        <w:tc>
          <w:tcPr>
            <w:tcW w:w="1156" w:type="dxa"/>
            <w:shd w:val="clear" w:color="000000" w:fill="BEBEBE"/>
            <w:vAlign w:val="center"/>
          </w:tcPr>
          <w:p>
            <w:pPr>
              <w:widowControl/>
              <w:spacing w:line="580" w:lineRule="exact"/>
              <w:jc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二级指标</w:t>
            </w:r>
          </w:p>
        </w:tc>
        <w:tc>
          <w:tcPr>
            <w:tcW w:w="1141" w:type="dxa"/>
            <w:gridSpan w:val="2"/>
            <w:shd w:val="clear" w:color="000000" w:fill="BEBEBE"/>
            <w:vAlign w:val="center"/>
          </w:tcPr>
          <w:p>
            <w:pPr>
              <w:widowControl/>
              <w:spacing w:line="580" w:lineRule="exact"/>
              <w:jc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三级指标</w:t>
            </w:r>
          </w:p>
        </w:tc>
        <w:tc>
          <w:tcPr>
            <w:tcW w:w="709" w:type="dxa"/>
            <w:shd w:val="clear" w:color="000000" w:fill="BEBEBE"/>
            <w:vAlign w:val="center"/>
          </w:tcPr>
          <w:p>
            <w:pPr>
              <w:widowControl/>
              <w:spacing w:line="580" w:lineRule="exact"/>
              <w:jc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权重</w:t>
            </w:r>
          </w:p>
        </w:tc>
        <w:tc>
          <w:tcPr>
            <w:tcW w:w="1134" w:type="dxa"/>
            <w:shd w:val="clear" w:color="000000" w:fill="BEBEBE"/>
            <w:vAlign w:val="center"/>
          </w:tcPr>
          <w:p>
            <w:pPr>
              <w:widowControl/>
              <w:spacing w:line="580" w:lineRule="exact"/>
              <w:jc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指标解释</w:t>
            </w:r>
          </w:p>
        </w:tc>
        <w:tc>
          <w:tcPr>
            <w:tcW w:w="992" w:type="dxa"/>
            <w:shd w:val="clear" w:color="000000" w:fill="BEBEBE"/>
            <w:vAlign w:val="center"/>
          </w:tcPr>
          <w:p>
            <w:pPr>
              <w:widowControl/>
              <w:spacing w:line="580" w:lineRule="exact"/>
              <w:jc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标杆值</w:t>
            </w:r>
          </w:p>
        </w:tc>
        <w:tc>
          <w:tcPr>
            <w:tcW w:w="1134" w:type="dxa"/>
            <w:shd w:val="clear" w:color="000000" w:fill="BEBEBE"/>
            <w:vAlign w:val="center"/>
          </w:tcPr>
          <w:p>
            <w:pPr>
              <w:widowControl/>
              <w:spacing w:line="580" w:lineRule="exact"/>
              <w:jc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评分依据</w:t>
            </w:r>
          </w:p>
        </w:tc>
        <w:tc>
          <w:tcPr>
            <w:tcW w:w="1134" w:type="dxa"/>
            <w:shd w:val="clear" w:color="000000" w:fill="BEBEBE"/>
            <w:vAlign w:val="center"/>
          </w:tcPr>
          <w:p>
            <w:pPr>
              <w:widowControl/>
              <w:spacing w:line="580" w:lineRule="exact"/>
              <w:jc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评价标准</w:t>
            </w:r>
          </w:p>
        </w:tc>
        <w:tc>
          <w:tcPr>
            <w:tcW w:w="2432" w:type="dxa"/>
            <w:shd w:val="clear" w:color="000000" w:fill="BEBEBE"/>
            <w:vAlign w:val="center"/>
          </w:tcPr>
          <w:p>
            <w:pPr>
              <w:widowControl/>
              <w:spacing w:line="580" w:lineRule="exact"/>
              <w:jc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评分过程</w:t>
            </w:r>
          </w:p>
        </w:tc>
        <w:tc>
          <w:tcPr>
            <w:tcW w:w="770" w:type="dxa"/>
            <w:shd w:val="clear" w:color="000000" w:fill="BEBEBE"/>
            <w:vAlign w:val="center"/>
          </w:tcPr>
          <w:p>
            <w:pPr>
              <w:widowControl/>
              <w:spacing w:line="580" w:lineRule="exact"/>
              <w:jc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得分</w:t>
            </w:r>
          </w:p>
        </w:tc>
        <w:tc>
          <w:tcPr>
            <w:tcW w:w="986" w:type="dxa"/>
            <w:shd w:val="clear" w:color="000000" w:fill="BEBEBE"/>
            <w:vAlign w:val="center"/>
          </w:tcPr>
          <w:p>
            <w:pPr>
              <w:widowControl/>
              <w:spacing w:line="580" w:lineRule="exact"/>
              <w:jc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restart"/>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A项目决策（12）</w:t>
            </w:r>
          </w:p>
        </w:tc>
        <w:tc>
          <w:tcPr>
            <w:tcW w:w="1163" w:type="dxa"/>
            <w:gridSpan w:val="2"/>
            <w:vMerge w:val="restart"/>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A1项目立项（6）</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A101 立项依据充分性</w:t>
            </w:r>
          </w:p>
        </w:tc>
        <w:tc>
          <w:tcPr>
            <w:tcW w:w="709"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3</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考察项目立项的依据文件是否充分，是否与国家和地区的战略目标、发展计划以及部门的基本职能和工作计划相适应。</w:t>
            </w:r>
          </w:p>
        </w:tc>
        <w:tc>
          <w:tcPr>
            <w:tcW w:w="99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充分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通用标准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①有相关政策依据（国家、省部级或市级政策依据）；②项目与国家和地区的战略目标、发展规划、工作计划相匹配；③项目与项目单位职责密切相关。以上三项各占1/3权重分，符合得该项权重分，不符合不得分。</w:t>
            </w:r>
          </w:p>
        </w:tc>
        <w:tc>
          <w:tcPr>
            <w:tcW w:w="2432" w:type="dxa"/>
            <w:vAlign w:val="center"/>
          </w:tcPr>
          <w:p>
            <w:pPr>
              <w:widowControl/>
              <w:autoSpaceDE w:val="0"/>
              <w:jc w:val="left"/>
              <w:textAlignment w:val="center"/>
              <w:rPr>
                <w:rFonts w:ascii="仿宋_GB2312" w:hAnsi="Times New Roman" w:eastAsia="仿宋_GB2312"/>
                <w:color w:val="000000"/>
                <w:kern w:val="0"/>
                <w:sz w:val="22"/>
                <w:szCs w:val="22"/>
              </w:rPr>
            </w:pPr>
            <w:bookmarkStart w:id="130" w:name="_Hlk110445592"/>
            <w:r>
              <w:rPr>
                <w:rFonts w:hint="eastAsia" w:ascii="仿宋_GB2312" w:hAnsi="Times New Roman" w:eastAsia="仿宋_GB2312"/>
                <w:color w:val="000000"/>
                <w:kern w:val="0"/>
                <w:sz w:val="22"/>
                <w:szCs w:val="22"/>
              </w:rPr>
              <w:t>①本项目依据相关文件设立；②与国家和地区的战略目标、发展规划、工作计划项目相匹配；③该项目与吐鲁番交通运输局的职责密切相关。综上，项目立项依据充分，故该指标得3分。</w:t>
            </w:r>
            <w:bookmarkEnd w:id="130"/>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 xml:space="preserve">3.00 </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continue"/>
            <w:vAlign w:val="center"/>
          </w:tcPr>
          <w:p>
            <w:pPr>
              <w:widowControl/>
              <w:autoSpaceDE w:val="0"/>
              <w:jc w:val="left"/>
              <w:textAlignment w:val="center"/>
              <w:rPr>
                <w:rFonts w:ascii="仿宋_GB2312" w:hAnsi="Times New Roman" w:eastAsia="仿宋_GB2312"/>
                <w:color w:val="000000"/>
                <w:kern w:val="0"/>
                <w:sz w:val="22"/>
                <w:szCs w:val="22"/>
              </w:rPr>
            </w:pPr>
          </w:p>
        </w:tc>
        <w:tc>
          <w:tcPr>
            <w:tcW w:w="1163" w:type="dxa"/>
            <w:gridSpan w:val="2"/>
            <w:vMerge w:val="continue"/>
            <w:vAlign w:val="center"/>
          </w:tcPr>
          <w:p>
            <w:pPr>
              <w:widowControl/>
              <w:autoSpaceDE w:val="0"/>
              <w:jc w:val="left"/>
              <w:textAlignment w:val="center"/>
              <w:rPr>
                <w:rFonts w:ascii="仿宋_GB2312" w:hAnsi="Times New Roman" w:eastAsia="仿宋_GB2312"/>
                <w:color w:val="000000"/>
                <w:kern w:val="0"/>
                <w:sz w:val="22"/>
                <w:szCs w:val="22"/>
              </w:rPr>
            </w:pP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A102 项目立项规范性</w:t>
            </w:r>
          </w:p>
        </w:tc>
        <w:tc>
          <w:tcPr>
            <w:tcW w:w="709"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3</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项目的申请、设立过程是否符合相关要求，用以反映和考核项目立项的规范情况。</w:t>
            </w:r>
          </w:p>
        </w:tc>
        <w:tc>
          <w:tcPr>
            <w:tcW w:w="99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规范</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通用标准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三点：①立项前是否已经过必要的可行性研究、专家论证、风险评估、集体决策等；②项目立项是否符合规定程序；③审批文件和材料是否合规完整。①②③齐全得权重分的100%，缺①扣权重分的40%，缺②扣权重分的30%，缺③扣权重分的30%。</w:t>
            </w:r>
          </w:p>
        </w:tc>
        <w:tc>
          <w:tcPr>
            <w:tcW w:w="243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本项目按照规定程序设立，立项程序合规。事前经过对相关政策进行研究、集体决策等，项目立项符合规定程序，审批文件和材料完整。综上，该项得满分3分。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 xml:space="preserve">3.00 </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continue"/>
            <w:vAlign w:val="center"/>
          </w:tcPr>
          <w:p>
            <w:pPr>
              <w:widowControl/>
              <w:autoSpaceDE w:val="0"/>
              <w:jc w:val="left"/>
              <w:textAlignment w:val="center"/>
              <w:rPr>
                <w:rFonts w:ascii="仿宋_GB2312" w:hAnsi="Times New Roman" w:eastAsia="仿宋_GB2312"/>
                <w:color w:val="000000"/>
                <w:kern w:val="0"/>
                <w:sz w:val="22"/>
                <w:szCs w:val="22"/>
              </w:rPr>
            </w:pPr>
          </w:p>
        </w:tc>
        <w:tc>
          <w:tcPr>
            <w:tcW w:w="1163" w:type="dxa"/>
            <w:gridSpan w:val="2"/>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A2 项目目标（6）</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A201 项目目标合理性</w:t>
            </w:r>
          </w:p>
        </w:tc>
        <w:tc>
          <w:tcPr>
            <w:tcW w:w="709"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6</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考察是否设立了项目总目标及年度目标，以及项目年度目标的完整性、明确性、可衡量性、可实现性、相关性和时限性。</w:t>
            </w:r>
          </w:p>
        </w:tc>
        <w:tc>
          <w:tcPr>
            <w:tcW w:w="99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合理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通用标准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①设立了总目标和年度目标先得20%的权重分（两项各占10%的权重分）；②再根据项目年度目标是否完整、明确、可衡量、可实现、与战略目标和总目标相关、是否有时间限制，每符合一项，再得1/6的剩余权重分。</w:t>
            </w:r>
          </w:p>
        </w:tc>
        <w:tc>
          <w:tcPr>
            <w:tcW w:w="2432" w:type="dxa"/>
            <w:vAlign w:val="center"/>
          </w:tcPr>
          <w:p>
            <w:pPr>
              <w:jc w:val="left"/>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①  据相关材料，本项目设立了总目标和年度目标，先得20%权重分；②年度绩效目标总体完整、可衡量、可实现、与战略目标和总目标相关、有时间限制。成本指标未细化，指标不够明确。综上，该项得3.6分。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ascii="仿宋_GB2312" w:hAnsi="Times New Roman" w:eastAsia="仿宋_GB2312"/>
                <w:color w:val="000000"/>
                <w:kern w:val="0"/>
                <w:sz w:val="22"/>
                <w:szCs w:val="22"/>
              </w:rPr>
              <w:t>3</w:t>
            </w:r>
            <w:r>
              <w:rPr>
                <w:rFonts w:hint="eastAsia" w:ascii="仿宋_GB2312" w:hAnsi="Times New Roman" w:eastAsia="仿宋_GB2312"/>
                <w:color w:val="000000"/>
                <w:kern w:val="0"/>
                <w:sz w:val="22"/>
                <w:szCs w:val="22"/>
              </w:rPr>
              <w:t>.</w:t>
            </w:r>
            <w:r>
              <w:rPr>
                <w:rFonts w:ascii="仿宋_GB2312" w:hAnsi="Times New Roman" w:eastAsia="仿宋_GB2312"/>
                <w:color w:val="000000"/>
                <w:kern w:val="0"/>
                <w:sz w:val="22"/>
                <w:szCs w:val="22"/>
              </w:rPr>
              <w:t>60</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ascii="仿宋_GB2312" w:hAnsi="Times New Roman" w:eastAsia="仿宋_GB2312"/>
                <w:color w:val="000000"/>
                <w:kern w:val="0"/>
                <w:sz w:val="22"/>
                <w:szCs w:val="22"/>
              </w:rPr>
              <w:t>60.00</w:t>
            </w:r>
            <w:r>
              <w:rPr>
                <w:rFonts w:hint="eastAsia" w:ascii="仿宋_GB2312" w:hAnsi="Times New Roman" w:eastAsia="仿宋_GB2312"/>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restart"/>
            <w:vAlign w:val="center"/>
          </w:tcPr>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B 项目管理（25）</w:t>
            </w:r>
          </w:p>
        </w:tc>
        <w:tc>
          <w:tcPr>
            <w:tcW w:w="1163" w:type="dxa"/>
            <w:gridSpan w:val="2"/>
            <w:vMerge w:val="restart"/>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B1 投入管理（6）</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B101 预算编制合理性</w:t>
            </w:r>
          </w:p>
        </w:tc>
        <w:tc>
          <w:tcPr>
            <w:tcW w:w="709"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3</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考察预算编制是否科学、合理，是否存在明显不合理之处。</w:t>
            </w:r>
          </w:p>
        </w:tc>
        <w:tc>
          <w:tcPr>
            <w:tcW w:w="99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合理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通用标准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ascii="Times New Roman" w:hAnsi="Times New Roman" w:eastAsia="仿宋_GB2312"/>
                <w:color w:val="000000" w:themeColor="text1"/>
                <w:kern w:val="0"/>
                <w:sz w:val="22"/>
                <w:szCs w:val="22"/>
                <w:lang w:eastAsia="zh-Hans"/>
                <w14:textFill>
                  <w14:solidFill>
                    <w14:schemeClr w14:val="tx1"/>
                  </w14:solidFill>
                </w14:textFill>
              </w:rPr>
              <w:t>考察</w:t>
            </w:r>
            <w:r>
              <w:rPr>
                <w:rFonts w:hint="eastAsia" w:ascii="宋体" w:hAnsi="宋体" w:cs="宋体"/>
                <w:color w:val="000000" w:themeColor="text1"/>
                <w:kern w:val="0"/>
                <w:sz w:val="22"/>
                <w:szCs w:val="22"/>
                <w:lang w:eastAsia="zh-Hans"/>
                <w14:textFill>
                  <w14:solidFill>
                    <w14:schemeClr w14:val="tx1"/>
                  </w14:solidFill>
                </w14:textFill>
              </w:rPr>
              <w:t>①</w:t>
            </w:r>
            <w:r>
              <w:rPr>
                <w:rFonts w:ascii="Times New Roman" w:hAnsi="Times New Roman" w:eastAsia="仿宋_GB2312"/>
                <w:color w:val="000000" w:themeColor="text1"/>
                <w:kern w:val="0"/>
                <w:sz w:val="22"/>
                <w:szCs w:val="22"/>
                <w:lang w:eastAsia="zh-Hans"/>
                <w14:textFill>
                  <w14:solidFill>
                    <w14:schemeClr w14:val="tx1"/>
                  </w14:solidFill>
                </w14:textFill>
              </w:rPr>
              <w:t>预算编制依据充分、合理；</w:t>
            </w:r>
            <w:r>
              <w:rPr>
                <w:rFonts w:hint="eastAsia" w:ascii="宋体" w:hAnsi="宋体" w:cs="宋体"/>
                <w:color w:val="000000" w:themeColor="text1"/>
                <w:kern w:val="0"/>
                <w:sz w:val="22"/>
                <w:szCs w:val="22"/>
                <w:lang w:eastAsia="zh-Hans"/>
                <w14:textFill>
                  <w14:solidFill>
                    <w14:schemeClr w14:val="tx1"/>
                  </w14:solidFill>
                </w14:textFill>
              </w:rPr>
              <w:t>②</w:t>
            </w:r>
            <w:r>
              <w:rPr>
                <w:rFonts w:ascii="Times New Roman" w:hAnsi="Times New Roman" w:eastAsia="仿宋_GB2312"/>
                <w:color w:val="000000" w:themeColor="text1"/>
                <w:kern w:val="0"/>
                <w:sz w:val="22"/>
                <w:szCs w:val="22"/>
                <w:lang w:eastAsia="zh-Hans"/>
                <w14:textFill>
                  <w14:solidFill>
                    <w14:schemeClr w14:val="tx1"/>
                  </w14:solidFill>
                </w14:textFill>
              </w:rPr>
              <w:t>预算编制细化；以上两项各占50%的权重分，满足则得分，否则扣除对应权重分。60%、40%和20%</w:t>
            </w:r>
          </w:p>
        </w:tc>
        <w:tc>
          <w:tcPr>
            <w:tcW w:w="2432" w:type="dxa"/>
            <w:vAlign w:val="center"/>
          </w:tcPr>
          <w:p>
            <w:pPr>
              <w:widowControl/>
              <w:autoSpaceDE w:val="0"/>
              <w:spacing w:line="240" w:lineRule="exact"/>
              <w:jc w:val="left"/>
              <w:textAlignment w:val="center"/>
              <w:rPr>
                <w:rFonts w:ascii="Times New Roman" w:hAnsi="Times New Roman" w:eastAsia="仿宋_GB2312"/>
                <w:color w:val="000000" w:themeColor="text1"/>
                <w:kern w:val="0"/>
                <w:sz w:val="22"/>
                <w14:textFill>
                  <w14:solidFill>
                    <w14:schemeClr w14:val="tx1"/>
                  </w14:solidFill>
                </w14:textFill>
              </w:rPr>
            </w:pPr>
            <w:r>
              <w:rPr>
                <w:rFonts w:hint="eastAsia" w:ascii="宋体" w:hAnsi="宋体" w:cs="宋体"/>
                <w:color w:val="000000" w:themeColor="text1"/>
                <w:kern w:val="0"/>
                <w:sz w:val="22"/>
                <w:szCs w:val="22"/>
                <w:lang w:eastAsia="zh-Hans"/>
                <w14:textFill>
                  <w14:solidFill>
                    <w14:schemeClr w14:val="tx1"/>
                  </w14:solidFill>
                </w14:textFill>
              </w:rPr>
              <w:t>①</w:t>
            </w:r>
            <w:r>
              <w:rPr>
                <w:rFonts w:ascii="Times New Roman" w:hAnsi="Times New Roman" w:eastAsia="仿宋_GB2312"/>
                <w:color w:val="000000" w:themeColor="text1"/>
                <w:kern w:val="0"/>
                <w:sz w:val="22"/>
                <w:szCs w:val="22"/>
                <w14:textFill>
                  <w14:solidFill>
                    <w14:schemeClr w14:val="tx1"/>
                  </w14:solidFill>
                </w14:textFill>
              </w:rPr>
              <w:t>项目预算编制依据充分、合理；</w:t>
            </w:r>
            <w:r>
              <w:rPr>
                <w:rFonts w:hint="eastAsia" w:ascii="宋体" w:hAnsi="宋体" w:cs="宋体"/>
                <w:color w:val="000000" w:themeColor="text1"/>
                <w:kern w:val="0"/>
                <w:sz w:val="22"/>
                <w:szCs w:val="22"/>
                <w:lang w:eastAsia="zh-Hans"/>
                <w14:textFill>
                  <w14:solidFill>
                    <w14:schemeClr w14:val="tx1"/>
                  </w14:solidFill>
                </w14:textFill>
              </w:rPr>
              <w:t>②</w:t>
            </w:r>
            <w:r>
              <w:rPr>
                <w:rFonts w:ascii="Times New Roman" w:hAnsi="Times New Roman" w:eastAsia="仿宋_GB2312"/>
                <w:color w:val="000000" w:themeColor="text1"/>
                <w:kern w:val="0"/>
                <w:sz w:val="22"/>
                <w:szCs w:val="22"/>
                <w14:textFill>
                  <w14:solidFill>
                    <w14:schemeClr w14:val="tx1"/>
                  </w14:solidFill>
                </w14:textFill>
              </w:rPr>
              <w:t>预算编制细化</w:t>
            </w:r>
            <w:r>
              <w:rPr>
                <w:rFonts w:hint="eastAsia" w:ascii="Times New Roman" w:hAnsi="Times New Roman" w:eastAsia="仿宋_GB2312"/>
                <w:color w:val="000000" w:themeColor="text1"/>
                <w:kern w:val="0"/>
                <w:sz w:val="22"/>
                <w:szCs w:val="22"/>
                <w:lang w:eastAsia="zh-Hans"/>
                <w14:textFill>
                  <w14:solidFill>
                    <w14:schemeClr w14:val="tx1"/>
                  </w14:solidFill>
                </w14:textFill>
              </w:rPr>
              <w:t>。</w:t>
            </w:r>
            <w:r>
              <w:rPr>
                <w:rFonts w:ascii="Times New Roman" w:hAnsi="Times New Roman" w:eastAsia="仿宋_GB2312"/>
                <w:color w:val="000000" w:themeColor="text1"/>
                <w:kern w:val="0"/>
                <w:sz w:val="22"/>
                <w:szCs w:val="22"/>
                <w14:textFill>
                  <w14:solidFill>
                    <w14:schemeClr w14:val="tx1"/>
                  </w14:solidFill>
                </w14:textFill>
              </w:rPr>
              <w:t>综上，该指标得满分。</w:t>
            </w:r>
          </w:p>
          <w:p>
            <w:pPr>
              <w:widowControl/>
              <w:autoSpaceDE w:val="0"/>
              <w:textAlignment w:val="center"/>
              <w:rPr>
                <w:rFonts w:ascii="仿宋_GB2312" w:hAnsi="Times New Roman" w:eastAsia="仿宋_GB2312"/>
                <w:color w:val="000000"/>
                <w:kern w:val="0"/>
                <w:sz w:val="22"/>
                <w:szCs w:val="22"/>
              </w:rPr>
            </w:pP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3.00</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continue"/>
            <w:vAlign w:val="center"/>
          </w:tcPr>
          <w:p>
            <w:pPr>
              <w:widowControl/>
              <w:autoSpaceDE w:val="0"/>
              <w:jc w:val="left"/>
              <w:textAlignment w:val="center"/>
              <w:rPr>
                <w:rFonts w:ascii="仿宋_GB2312" w:hAnsi="Times New Roman" w:eastAsia="仿宋_GB2312"/>
                <w:color w:val="000000"/>
                <w:kern w:val="0"/>
                <w:sz w:val="22"/>
                <w:szCs w:val="22"/>
              </w:rPr>
            </w:pPr>
          </w:p>
        </w:tc>
        <w:tc>
          <w:tcPr>
            <w:tcW w:w="1163" w:type="dxa"/>
            <w:gridSpan w:val="2"/>
            <w:vMerge w:val="continue"/>
            <w:vAlign w:val="center"/>
          </w:tcPr>
          <w:p>
            <w:pPr>
              <w:widowControl/>
              <w:autoSpaceDE w:val="0"/>
              <w:jc w:val="left"/>
              <w:textAlignment w:val="center"/>
              <w:rPr>
                <w:rFonts w:ascii="仿宋_GB2312" w:hAnsi="Times New Roman" w:eastAsia="仿宋_GB2312"/>
                <w:color w:val="000000"/>
                <w:kern w:val="0"/>
                <w:sz w:val="22"/>
                <w:szCs w:val="22"/>
              </w:rPr>
            </w:pP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B102 预算执行率</w:t>
            </w:r>
          </w:p>
        </w:tc>
        <w:tc>
          <w:tcPr>
            <w:tcW w:w="709"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3</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反映项目预算资金的实际执行情况；预算执行率=实际支出金额/预算批复金额×100%。</w:t>
            </w:r>
          </w:p>
        </w:tc>
        <w:tc>
          <w:tcPr>
            <w:tcW w:w="99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通用标准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预算执行率*权重分</w:t>
            </w:r>
          </w:p>
        </w:tc>
        <w:tc>
          <w:tcPr>
            <w:tcW w:w="243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该项目2021年预算1</w:t>
            </w:r>
            <w:r>
              <w:rPr>
                <w:rFonts w:ascii="仿宋_GB2312" w:hAnsi="Times New Roman" w:eastAsia="仿宋_GB2312"/>
                <w:color w:val="000000"/>
                <w:kern w:val="0"/>
                <w:sz w:val="22"/>
                <w:szCs w:val="22"/>
              </w:rPr>
              <w:t>20</w:t>
            </w:r>
            <w:r>
              <w:rPr>
                <w:rFonts w:hint="eastAsia" w:ascii="仿宋_GB2312" w:hAnsi="Times New Roman" w:eastAsia="仿宋_GB2312"/>
                <w:color w:val="000000"/>
                <w:kern w:val="0"/>
                <w:sz w:val="22"/>
                <w:szCs w:val="22"/>
              </w:rPr>
              <w:t>万元，截至2021年12月31日，实际支出1</w:t>
            </w:r>
            <w:r>
              <w:rPr>
                <w:rFonts w:ascii="仿宋_GB2312" w:hAnsi="Times New Roman" w:eastAsia="仿宋_GB2312"/>
                <w:color w:val="000000"/>
                <w:kern w:val="0"/>
                <w:sz w:val="22"/>
                <w:szCs w:val="22"/>
              </w:rPr>
              <w:t>20</w:t>
            </w:r>
            <w:r>
              <w:rPr>
                <w:rFonts w:hint="eastAsia" w:ascii="仿宋_GB2312" w:hAnsi="Times New Roman" w:eastAsia="仿宋_GB2312"/>
                <w:color w:val="000000"/>
                <w:kern w:val="0"/>
                <w:sz w:val="22"/>
                <w:szCs w:val="22"/>
              </w:rPr>
              <w:t>万元，预算执行率=1</w:t>
            </w:r>
            <w:r>
              <w:rPr>
                <w:rFonts w:ascii="仿宋_GB2312" w:hAnsi="Times New Roman" w:eastAsia="仿宋_GB2312"/>
                <w:color w:val="000000"/>
                <w:kern w:val="0"/>
                <w:sz w:val="22"/>
                <w:szCs w:val="22"/>
              </w:rPr>
              <w:t>20</w:t>
            </w:r>
            <w:r>
              <w:rPr>
                <w:rFonts w:hint="eastAsia" w:ascii="仿宋_GB2312" w:hAnsi="Times New Roman" w:eastAsia="仿宋_GB2312"/>
                <w:color w:val="000000"/>
                <w:kern w:val="0"/>
                <w:sz w:val="22"/>
                <w:szCs w:val="22"/>
              </w:rPr>
              <w:t>/10</w:t>
            </w:r>
            <w:r>
              <w:rPr>
                <w:rFonts w:ascii="仿宋_GB2312" w:hAnsi="Times New Roman" w:eastAsia="仿宋_GB2312"/>
                <w:color w:val="000000"/>
                <w:kern w:val="0"/>
                <w:sz w:val="22"/>
                <w:szCs w:val="22"/>
              </w:rPr>
              <w:t>20</w:t>
            </w:r>
            <w:r>
              <w:rPr>
                <w:rFonts w:hint="eastAsia" w:ascii="仿宋_GB2312" w:hAnsi="Times New Roman" w:eastAsia="仿宋_GB2312"/>
                <w:color w:val="000000"/>
                <w:kern w:val="0"/>
                <w:sz w:val="22"/>
                <w:szCs w:val="22"/>
              </w:rPr>
              <w:t>*100%*3=3，故该项得满分。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3.00</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continue"/>
            <w:vAlign w:val="center"/>
          </w:tcPr>
          <w:p>
            <w:pPr>
              <w:widowControl/>
              <w:autoSpaceDE w:val="0"/>
              <w:jc w:val="left"/>
              <w:textAlignment w:val="center"/>
              <w:rPr>
                <w:rFonts w:ascii="仿宋_GB2312" w:hAnsi="Times New Roman" w:eastAsia="仿宋_GB2312"/>
                <w:color w:val="000000"/>
                <w:kern w:val="0"/>
                <w:sz w:val="22"/>
                <w:szCs w:val="22"/>
              </w:rPr>
            </w:pPr>
          </w:p>
        </w:tc>
        <w:tc>
          <w:tcPr>
            <w:tcW w:w="1163" w:type="dxa"/>
            <w:gridSpan w:val="2"/>
            <w:vMerge w:val="restart"/>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B2 财务管理（7）</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B201 财务管理制度健全性</w:t>
            </w:r>
          </w:p>
        </w:tc>
        <w:tc>
          <w:tcPr>
            <w:tcW w:w="709"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3</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项目实施单位的财务制度是否健全，用以反映和考核财务管理制度对资金规范、安全运行的保障情况。</w:t>
            </w:r>
          </w:p>
        </w:tc>
        <w:tc>
          <w:tcPr>
            <w:tcW w:w="99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健全</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通用标准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考察①是否已制定或具有相应的项目资金管理办法；②项目资金管理办法是否完整；③项目资金管理办法是否明确且具有可操作性；三项各占20%、40%、40%的权重分，满足一项得对应的权重分。</w:t>
            </w:r>
          </w:p>
        </w:tc>
        <w:tc>
          <w:tcPr>
            <w:tcW w:w="2432" w:type="dxa"/>
            <w:vAlign w:val="center"/>
          </w:tcPr>
          <w:p>
            <w:pPr>
              <w:pStyle w:val="79"/>
              <w:widowControl/>
              <w:numPr>
                <w:ilvl w:val="0"/>
                <w:numId w:val="1"/>
              </w:numPr>
              <w:autoSpaceDE w:val="0"/>
              <w:ind w:firstLineChars="0"/>
              <w:jc w:val="left"/>
              <w:textAlignment w:val="center"/>
              <w:rPr>
                <w:rFonts w:ascii="仿宋_GB2312" w:hAnsi="Times New Roman" w:eastAsia="仿宋_GB2312"/>
                <w:color w:val="000000"/>
                <w:kern w:val="0"/>
                <w:sz w:val="22"/>
              </w:rPr>
            </w:pPr>
            <w:r>
              <w:rPr>
                <w:rFonts w:hint="eastAsia" w:ascii="仿宋_GB2312" w:hAnsi="Times New Roman" w:eastAsia="仿宋_GB2312"/>
                <w:color w:val="000000"/>
                <w:kern w:val="0"/>
                <w:sz w:val="22"/>
              </w:rPr>
              <w:t>具有相应的项目资金管理办法；②项目资金管理办法完整；③项目资金管理办法明确且未具有可操作性。综上，该项得3分。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3</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continue"/>
            <w:vAlign w:val="center"/>
          </w:tcPr>
          <w:p>
            <w:pPr>
              <w:widowControl/>
              <w:autoSpaceDE w:val="0"/>
              <w:jc w:val="left"/>
              <w:textAlignment w:val="center"/>
              <w:rPr>
                <w:rFonts w:ascii="仿宋_GB2312" w:hAnsi="Times New Roman" w:eastAsia="仿宋_GB2312"/>
                <w:color w:val="000000"/>
                <w:kern w:val="0"/>
                <w:sz w:val="22"/>
                <w:szCs w:val="22"/>
              </w:rPr>
            </w:pPr>
          </w:p>
        </w:tc>
        <w:tc>
          <w:tcPr>
            <w:tcW w:w="1163" w:type="dxa"/>
            <w:gridSpan w:val="2"/>
            <w:vMerge w:val="continue"/>
            <w:vAlign w:val="center"/>
          </w:tcPr>
          <w:p>
            <w:pPr>
              <w:widowControl/>
              <w:autoSpaceDE w:val="0"/>
              <w:jc w:val="left"/>
              <w:textAlignment w:val="center"/>
              <w:rPr>
                <w:rFonts w:ascii="仿宋_GB2312" w:hAnsi="Times New Roman" w:eastAsia="仿宋_GB2312"/>
                <w:color w:val="000000"/>
                <w:kern w:val="0"/>
                <w:sz w:val="22"/>
                <w:szCs w:val="22"/>
              </w:rPr>
            </w:pP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B202 资金使用合规性</w:t>
            </w:r>
          </w:p>
        </w:tc>
        <w:tc>
          <w:tcPr>
            <w:tcW w:w="709"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4</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项目资金使用是否符合相关的财务管理制度规定，用以反映和考核项目资金的规范运行情况。</w:t>
            </w:r>
          </w:p>
        </w:tc>
        <w:tc>
          <w:tcPr>
            <w:tcW w:w="99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合规</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通用标准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主管部门：①资金使用是否符合国家财经法规和财务管理制度以及有关专项资金管理办法的规定；②资金的拨付是否有完整的审批程序和手续；③项目的重大开支是否经过评估认证；④是否符合项目预算批复或合同规定的用途；⑤是否存在截留、挤占、挪用、虚列支出等情况。①②③④⑤全部符合视为使用合规，得满分；在①④⑤同时满足时得60%的权重分，②③中每满足一项再得20%权重分；存在①、④或⑤不满足时属于严重违规事项，本项指标不得分。</w:t>
            </w:r>
          </w:p>
        </w:tc>
        <w:tc>
          <w:tcPr>
            <w:tcW w:w="243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①本项目专项资金的使用符合国家财经法规和财务管理制度以及有关专项资金管理办法的规定；②本项目资金的拨付和支付的审批手续完整；③项目的重大开支经过评估认证；④项目支出符合项目预算批复或合同规定的用途；⑤不存在截留、挤占、挪用、虚列支出等情况。综上，该项得满分4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4.00</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continue"/>
            <w:vAlign w:val="center"/>
          </w:tcPr>
          <w:p>
            <w:pPr>
              <w:widowControl/>
              <w:autoSpaceDE w:val="0"/>
              <w:jc w:val="left"/>
              <w:textAlignment w:val="center"/>
              <w:rPr>
                <w:rFonts w:ascii="仿宋_GB2312" w:hAnsi="Times New Roman" w:eastAsia="仿宋_GB2312"/>
                <w:color w:val="000000"/>
                <w:kern w:val="0"/>
                <w:sz w:val="22"/>
                <w:szCs w:val="22"/>
              </w:rPr>
            </w:pPr>
          </w:p>
        </w:tc>
        <w:tc>
          <w:tcPr>
            <w:tcW w:w="1163" w:type="dxa"/>
            <w:gridSpan w:val="2"/>
            <w:vMerge w:val="restart"/>
            <w:vAlign w:val="center"/>
          </w:tcPr>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br w:type="textWrapping"/>
            </w: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B3 项目实施（12）</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B301 管理制度健全性</w:t>
            </w:r>
          </w:p>
        </w:tc>
        <w:tc>
          <w:tcPr>
            <w:tcW w:w="709"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6</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项目实施单位的业务管理制度是否健全，用以反映和考核业务管理制度对项目顺利实施的保障情况。</w:t>
            </w:r>
          </w:p>
        </w:tc>
        <w:tc>
          <w:tcPr>
            <w:tcW w:w="99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健全</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通用标准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ascii="Times New Roman" w:hAnsi="Times New Roman" w:eastAsia="仿宋_GB2312"/>
                <w:color w:val="000000" w:themeColor="text1"/>
                <w:kern w:val="0"/>
                <w:sz w:val="22"/>
                <w:szCs w:val="22"/>
                <w:lang w:eastAsia="zh-Hans"/>
                <w14:textFill>
                  <w14:solidFill>
                    <w14:schemeClr w14:val="tx1"/>
                  </w14:solidFill>
                </w14:textFill>
              </w:rPr>
              <w:t>考察</w:t>
            </w:r>
            <w:r>
              <w:rPr>
                <w:rFonts w:hint="eastAsia" w:ascii="宋体" w:hAnsi="宋体" w:cs="宋体"/>
                <w:color w:val="000000" w:themeColor="text1"/>
                <w:kern w:val="0"/>
                <w:sz w:val="22"/>
                <w:szCs w:val="22"/>
                <w:lang w:eastAsia="zh-Hans"/>
                <w14:textFill>
                  <w14:solidFill>
                    <w14:schemeClr w14:val="tx1"/>
                  </w14:solidFill>
                </w14:textFill>
              </w:rPr>
              <w:t>①</w:t>
            </w:r>
            <w:r>
              <w:rPr>
                <w:rFonts w:ascii="Times New Roman" w:hAnsi="Times New Roman" w:eastAsia="仿宋_GB2312"/>
                <w:color w:val="000000" w:themeColor="text1"/>
                <w:kern w:val="0"/>
                <w:sz w:val="22"/>
                <w:szCs w:val="22"/>
                <w:lang w:eastAsia="zh-Hans"/>
                <w14:textFill>
                  <w14:solidFill>
                    <w14:schemeClr w14:val="tx1"/>
                  </w14:solidFill>
                </w14:textFill>
              </w:rPr>
              <w:t>是否已制定或具有项目申报、审核、监督等业务管理制度；</w:t>
            </w:r>
            <w:r>
              <w:rPr>
                <w:rFonts w:hint="eastAsia" w:ascii="宋体" w:hAnsi="宋体" w:cs="宋体"/>
                <w:color w:val="000000" w:themeColor="text1"/>
                <w:kern w:val="0"/>
                <w:sz w:val="22"/>
                <w:szCs w:val="22"/>
                <w:lang w:eastAsia="zh-Hans"/>
                <w14:textFill>
                  <w14:solidFill>
                    <w14:schemeClr w14:val="tx1"/>
                  </w14:solidFill>
                </w14:textFill>
              </w:rPr>
              <w:t>②</w:t>
            </w:r>
            <w:r>
              <w:rPr>
                <w:rFonts w:ascii="Times New Roman" w:hAnsi="Times New Roman" w:eastAsia="仿宋_GB2312"/>
                <w:color w:val="000000" w:themeColor="text1"/>
                <w:kern w:val="0"/>
                <w:sz w:val="22"/>
                <w:szCs w:val="22"/>
                <w:lang w:eastAsia="zh-Hans"/>
                <w14:textFill>
                  <w14:solidFill>
                    <w14:schemeClr w14:val="tx1"/>
                  </w14:solidFill>
                </w14:textFill>
              </w:rPr>
              <w:t>业务管理制度是合法、合规、完整；</w:t>
            </w:r>
            <w:r>
              <w:rPr>
                <w:rFonts w:hint="eastAsia" w:ascii="宋体" w:hAnsi="宋体" w:cs="宋体"/>
                <w:color w:val="000000" w:themeColor="text1"/>
                <w:kern w:val="0"/>
                <w:sz w:val="22"/>
                <w:szCs w:val="22"/>
                <w:lang w:eastAsia="zh-Hans"/>
                <w14:textFill>
                  <w14:solidFill>
                    <w14:schemeClr w14:val="tx1"/>
                  </w14:solidFill>
                </w14:textFill>
              </w:rPr>
              <w:t>③</w:t>
            </w:r>
            <w:r>
              <w:rPr>
                <w:rFonts w:ascii="Times New Roman" w:hAnsi="Times New Roman" w:eastAsia="仿宋_GB2312"/>
                <w:color w:val="000000" w:themeColor="text1"/>
                <w:kern w:val="0"/>
                <w:sz w:val="22"/>
                <w:szCs w:val="22"/>
                <w:lang w:eastAsia="zh-Hans"/>
                <w14:textFill>
                  <w14:solidFill>
                    <w14:schemeClr w14:val="tx1"/>
                  </w14:solidFill>
                </w14:textFill>
              </w:rPr>
              <w:t>业务管理制度明确且具有可操作性。三项分别占30%、30%、40%的权重分。</w:t>
            </w:r>
            <w:r>
              <w:rPr>
                <w:rFonts w:hint="eastAsia" w:ascii="宋体" w:hAnsi="宋体" w:cs="宋体"/>
                <w:color w:val="000000" w:themeColor="text1"/>
                <w:kern w:val="0"/>
                <w:sz w:val="22"/>
                <w:szCs w:val="22"/>
                <w:lang w:eastAsia="zh-Hans"/>
                <w14:textFill>
                  <w14:solidFill>
                    <w14:schemeClr w14:val="tx1"/>
                  </w14:solidFill>
                </w14:textFill>
              </w:rPr>
              <w:t>①</w:t>
            </w:r>
            <w:r>
              <w:rPr>
                <w:rFonts w:ascii="Times New Roman" w:hAnsi="Times New Roman" w:eastAsia="仿宋_GB2312"/>
                <w:color w:val="000000" w:themeColor="text1"/>
                <w:kern w:val="0"/>
                <w:sz w:val="22"/>
                <w:szCs w:val="22"/>
                <w:lang w:eastAsia="zh-Hans"/>
                <w14:textFill>
                  <w14:solidFill>
                    <w14:schemeClr w14:val="tx1"/>
                  </w14:solidFill>
                </w14:textFill>
              </w:rPr>
              <w:t>中各环节占1/3的权重分，</w:t>
            </w:r>
            <w:r>
              <w:rPr>
                <w:rFonts w:hint="eastAsia" w:ascii="宋体" w:hAnsi="宋体" w:cs="宋体"/>
                <w:color w:val="000000" w:themeColor="text1"/>
                <w:kern w:val="0"/>
                <w:sz w:val="22"/>
                <w:szCs w:val="22"/>
                <w:lang w:eastAsia="zh-Hans"/>
                <w14:textFill>
                  <w14:solidFill>
                    <w14:schemeClr w14:val="tx1"/>
                  </w14:solidFill>
                </w14:textFill>
              </w:rPr>
              <w:t>②</w:t>
            </w:r>
            <w:r>
              <w:rPr>
                <w:rFonts w:ascii="Times New Roman" w:hAnsi="Times New Roman" w:eastAsia="仿宋_GB2312"/>
                <w:color w:val="000000" w:themeColor="text1"/>
                <w:kern w:val="0"/>
                <w:sz w:val="22"/>
                <w:szCs w:val="22"/>
                <w:lang w:eastAsia="zh-Hans"/>
                <w14:textFill>
                  <w14:solidFill>
                    <w14:schemeClr w14:val="tx1"/>
                  </w14:solidFill>
                </w14:textFill>
              </w:rPr>
              <w:t>中业务管理制度的合法、合规、完整各占1/3权重分，符合则得对应权重分，否则扣除对应权重分</w:t>
            </w:r>
          </w:p>
        </w:tc>
        <w:tc>
          <w:tcPr>
            <w:tcW w:w="243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①已制定项目实施方案先得50%权重分②已制定的相关管理制度合法合规且完整。再得50%权重分。综上，该项得满分6分。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ascii="仿宋_GB2312" w:hAnsi="Times New Roman" w:eastAsia="仿宋_GB2312"/>
                <w:color w:val="000000"/>
                <w:kern w:val="0"/>
                <w:sz w:val="22"/>
                <w:szCs w:val="22"/>
              </w:rPr>
              <w:t>6</w:t>
            </w:r>
            <w:r>
              <w:rPr>
                <w:rFonts w:hint="eastAsia" w:ascii="仿宋_GB2312" w:hAnsi="Times New Roman" w:eastAsia="仿宋_GB2312"/>
                <w:color w:val="000000"/>
                <w:kern w:val="0"/>
                <w:sz w:val="22"/>
                <w:szCs w:val="22"/>
              </w:rPr>
              <w:t xml:space="preserve">.00 </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continue"/>
            <w:vAlign w:val="center"/>
          </w:tcPr>
          <w:p>
            <w:pPr>
              <w:widowControl/>
              <w:autoSpaceDE w:val="0"/>
              <w:jc w:val="left"/>
              <w:textAlignment w:val="center"/>
              <w:rPr>
                <w:rFonts w:ascii="仿宋_GB2312" w:hAnsi="Times New Roman" w:eastAsia="仿宋_GB2312"/>
                <w:color w:val="000000"/>
                <w:kern w:val="0"/>
                <w:sz w:val="22"/>
                <w:szCs w:val="22"/>
              </w:rPr>
            </w:pPr>
          </w:p>
        </w:tc>
        <w:tc>
          <w:tcPr>
            <w:tcW w:w="1163" w:type="dxa"/>
            <w:gridSpan w:val="2"/>
            <w:vMerge w:val="continue"/>
            <w:vAlign w:val="center"/>
          </w:tcPr>
          <w:p>
            <w:pPr>
              <w:widowControl/>
              <w:autoSpaceDE w:val="0"/>
              <w:jc w:val="left"/>
              <w:textAlignment w:val="center"/>
              <w:rPr>
                <w:rFonts w:ascii="仿宋_GB2312" w:hAnsi="Times New Roman" w:eastAsia="仿宋_GB2312"/>
                <w:color w:val="000000"/>
                <w:kern w:val="0"/>
                <w:sz w:val="22"/>
                <w:szCs w:val="22"/>
              </w:rPr>
            </w:pP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B302 管理制度执行有效性</w:t>
            </w:r>
          </w:p>
        </w:tc>
        <w:tc>
          <w:tcPr>
            <w:tcW w:w="709"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6</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项目实施是否符合相关业务管理规定，用以反映和考核业务管理制度的有效执行情况。</w:t>
            </w:r>
          </w:p>
        </w:tc>
        <w:tc>
          <w:tcPr>
            <w:tcW w:w="99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有效</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通用标准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ascii="Times New Roman" w:hAnsi="Times New Roman" w:eastAsia="仿宋_GB2312"/>
                <w:color w:val="000000" w:themeColor="text1"/>
                <w:kern w:val="0"/>
                <w:sz w:val="22"/>
                <w:szCs w:val="22"/>
                <w:lang w:eastAsia="zh-Hans"/>
                <w14:textFill>
                  <w14:solidFill>
                    <w14:schemeClr w14:val="tx1"/>
                  </w14:solidFill>
                </w14:textFill>
              </w:rPr>
              <w:t>考察项目申报、审核、跟踪等业务管理制度的执行情况，上述3个环节分别占20%权重分，各环节均</w:t>
            </w:r>
            <w:r>
              <w:rPr>
                <w:rFonts w:hint="eastAsia" w:ascii="宋体" w:hAnsi="宋体" w:cs="宋体"/>
                <w:color w:val="000000" w:themeColor="text1"/>
                <w:kern w:val="0"/>
                <w:sz w:val="22"/>
                <w:szCs w:val="22"/>
                <w:lang w:eastAsia="zh-Hans"/>
                <w14:textFill>
                  <w14:solidFill>
                    <w14:schemeClr w14:val="tx1"/>
                  </w14:solidFill>
                </w14:textFill>
              </w:rPr>
              <w:t>①</w:t>
            </w:r>
            <w:r>
              <w:rPr>
                <w:rFonts w:ascii="Times New Roman" w:hAnsi="Times New Roman" w:eastAsia="仿宋_GB2312"/>
                <w:color w:val="000000" w:themeColor="text1"/>
                <w:kern w:val="0"/>
                <w:sz w:val="22"/>
                <w:szCs w:val="22"/>
                <w:lang w:eastAsia="zh-Hans"/>
                <w14:textFill>
                  <w14:solidFill>
                    <w14:schemeClr w14:val="tx1"/>
                  </w14:solidFill>
                </w14:textFill>
              </w:rPr>
              <w:t>遵守相关法律法规和业务管理规定；</w:t>
            </w:r>
            <w:r>
              <w:rPr>
                <w:rFonts w:hint="eastAsia" w:ascii="宋体" w:hAnsi="宋体" w:cs="宋体"/>
                <w:color w:val="000000" w:themeColor="text1"/>
                <w:kern w:val="0"/>
                <w:sz w:val="22"/>
                <w:szCs w:val="22"/>
                <w:lang w:eastAsia="zh-Hans"/>
                <w14:textFill>
                  <w14:solidFill>
                    <w14:schemeClr w14:val="tx1"/>
                  </w14:solidFill>
                </w14:textFill>
              </w:rPr>
              <w:t>②</w:t>
            </w:r>
            <w:r>
              <w:rPr>
                <w:rFonts w:ascii="Times New Roman" w:hAnsi="Times New Roman" w:eastAsia="仿宋_GB2312"/>
                <w:color w:val="000000" w:themeColor="text1"/>
                <w:kern w:val="0"/>
                <w:sz w:val="22"/>
                <w:szCs w:val="22"/>
                <w:lang w:eastAsia="zh-Hans"/>
                <w14:textFill>
                  <w14:solidFill>
                    <w14:schemeClr w14:val="tx1"/>
                  </w14:solidFill>
                </w14:textFill>
              </w:rPr>
              <w:t>保存了完整的过程资料；</w:t>
            </w:r>
            <w:r>
              <w:rPr>
                <w:rFonts w:hint="eastAsia" w:ascii="宋体" w:hAnsi="宋体" w:cs="宋体"/>
                <w:color w:val="000000" w:themeColor="text1"/>
                <w:kern w:val="0"/>
                <w:sz w:val="22"/>
                <w:szCs w:val="22"/>
                <w:lang w:eastAsia="zh-Hans"/>
                <w14:textFill>
                  <w14:solidFill>
                    <w14:schemeClr w14:val="tx1"/>
                  </w14:solidFill>
                </w14:textFill>
              </w:rPr>
              <w:t>③</w:t>
            </w:r>
            <w:r>
              <w:rPr>
                <w:rFonts w:ascii="Times New Roman" w:hAnsi="Times New Roman" w:eastAsia="仿宋_GB2312"/>
                <w:color w:val="000000" w:themeColor="text1"/>
                <w:kern w:val="0"/>
                <w:sz w:val="22"/>
                <w:szCs w:val="22"/>
                <w:lang w:eastAsia="zh-Hans"/>
                <w14:textFill>
                  <w14:solidFill>
                    <w14:schemeClr w14:val="tx1"/>
                  </w14:solidFill>
                </w14:textFill>
              </w:rPr>
              <w:t>落实了工作开展的人员条件、场地设备、信息支撑等，三项分别占剩余权重分的1/3，各环节满足一项得对应的权重分，否则扣除对应权重分。</w:t>
            </w:r>
          </w:p>
        </w:tc>
        <w:tc>
          <w:tcPr>
            <w:tcW w:w="2432" w:type="dxa"/>
            <w:vAlign w:val="center"/>
          </w:tcPr>
          <w:p>
            <w:pPr>
              <w:widowControl/>
              <w:autoSpaceDE w:val="0"/>
              <w:jc w:val="left"/>
              <w:textAlignment w:val="center"/>
              <w:rPr>
                <w:rFonts w:ascii="仿宋_GB2312" w:hAnsi="Times New Roman" w:eastAsia="仿宋_GB2312"/>
                <w:color w:val="000000"/>
                <w:kern w:val="0"/>
                <w:sz w:val="22"/>
                <w:szCs w:val="22"/>
              </w:rPr>
            </w:pPr>
            <w:r>
              <w:rPr>
                <w:rFonts w:ascii="Times New Roman" w:hAnsi="Times New Roman" w:eastAsia="仿宋"/>
                <w:color w:val="000000" w:themeColor="text1"/>
                <w:kern w:val="0"/>
                <w:lang w:bidi="ar"/>
                <w14:textFill>
                  <w14:solidFill>
                    <w14:schemeClr w14:val="tx1"/>
                  </w14:solidFill>
                </w14:textFill>
              </w:rPr>
              <w:t>经调研，项目实施内容、标准、实施流程、人员安排、进度安排等严格按照</w:t>
            </w:r>
            <w:r>
              <w:rPr>
                <w:rFonts w:hint="eastAsia" w:ascii="Times New Roman" w:hAnsi="Times New Roman" w:eastAsia="仿宋"/>
                <w:color w:val="000000" w:themeColor="text1"/>
                <w:kern w:val="0"/>
                <w:lang w:bidi="ar"/>
                <w14:textFill>
                  <w14:solidFill>
                    <w14:schemeClr w14:val="tx1"/>
                  </w14:solidFill>
                </w14:textFill>
              </w:rPr>
              <w:t>计划</w:t>
            </w:r>
            <w:r>
              <w:rPr>
                <w:rFonts w:ascii="Times New Roman" w:hAnsi="Times New Roman" w:eastAsia="仿宋"/>
                <w:color w:val="000000" w:themeColor="text1"/>
                <w:kern w:val="0"/>
                <w:lang w:bidi="ar"/>
                <w14:textFill>
                  <w14:solidFill>
                    <w14:schemeClr w14:val="tx1"/>
                  </w14:solidFill>
                </w14:textFill>
              </w:rPr>
              <w:t>开展。综上，该指标得满分。</w:t>
            </w:r>
            <w:r>
              <w:rPr>
                <w:rFonts w:ascii="Times New Roman" w:hAnsi="Times New Roman" w:eastAsia="仿宋_GB2312"/>
                <w:color w:val="000000" w:themeColor="text1"/>
                <w:kern w:val="0"/>
                <w:sz w:val="22"/>
                <w:szCs w:val="22"/>
                <w:lang w:eastAsia="zh-Hans"/>
                <w14:textFill>
                  <w14:solidFill>
                    <w14:schemeClr w14:val="tx1"/>
                  </w14:solidFill>
                </w14:textFill>
              </w:rPr>
              <w:t>故该指标得</w:t>
            </w:r>
            <w:r>
              <w:rPr>
                <w:rFonts w:hint="eastAsia" w:ascii="Times New Roman" w:hAnsi="Times New Roman" w:eastAsia="仿宋_GB2312"/>
                <w:color w:val="000000" w:themeColor="text1"/>
                <w:kern w:val="0"/>
                <w:sz w:val="22"/>
                <w:szCs w:val="22"/>
                <w14:textFill>
                  <w14:solidFill>
                    <w14:schemeClr w14:val="tx1"/>
                  </w14:solidFill>
                </w14:textFill>
              </w:rPr>
              <w:t>6分。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ascii="仿宋_GB2312" w:hAnsi="Times New Roman" w:eastAsia="仿宋_GB2312"/>
                <w:color w:val="000000"/>
                <w:kern w:val="0"/>
                <w:sz w:val="22"/>
                <w:szCs w:val="22"/>
              </w:rPr>
              <w:t>6.00</w:t>
            </w:r>
            <w:r>
              <w:rPr>
                <w:rFonts w:hint="eastAsia" w:ascii="仿宋_GB2312" w:hAnsi="Times New Roman" w:eastAsia="仿宋_GB2312"/>
                <w:color w:val="000000"/>
                <w:kern w:val="0"/>
                <w:sz w:val="22"/>
                <w:szCs w:val="22"/>
              </w:rPr>
              <w:t xml:space="preserve"> </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ascii="仿宋_GB2312" w:hAnsi="Times New Roman" w:eastAsia="仿宋_GB2312"/>
                <w:color w:val="000000"/>
                <w:kern w:val="0"/>
                <w:sz w:val="22"/>
                <w:szCs w:val="22"/>
              </w:rPr>
              <w:t>10</w:t>
            </w:r>
            <w:r>
              <w:rPr>
                <w:rFonts w:hint="eastAsia" w:ascii="仿宋_GB2312" w:hAnsi="Times New Roman" w:eastAsia="仿宋_GB2312"/>
                <w:color w:val="000000"/>
                <w:kern w:val="0"/>
                <w:sz w:val="22"/>
                <w:szCs w:val="22"/>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restart"/>
            <w:vAlign w:val="center"/>
          </w:tcPr>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C 项目产出（5</w:t>
            </w:r>
            <w:r>
              <w:rPr>
                <w:rFonts w:ascii="仿宋_GB2312" w:hAnsi="Times New Roman" w:eastAsia="仿宋_GB2312"/>
                <w:color w:val="000000"/>
                <w:kern w:val="0"/>
                <w:sz w:val="22"/>
                <w:szCs w:val="22"/>
              </w:rPr>
              <w:t>5</w:t>
            </w:r>
          </w:p>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w:t>
            </w:r>
          </w:p>
        </w:tc>
        <w:tc>
          <w:tcPr>
            <w:tcW w:w="1163" w:type="dxa"/>
            <w:gridSpan w:val="2"/>
            <w:vMerge w:val="restart"/>
            <w:vAlign w:val="center"/>
          </w:tcPr>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C1 项目产出（5</w:t>
            </w:r>
            <w:r>
              <w:rPr>
                <w:rFonts w:ascii="仿宋_GB2312" w:hAnsi="Times New Roman" w:eastAsia="仿宋_GB2312"/>
                <w:color w:val="000000"/>
                <w:kern w:val="0"/>
                <w:sz w:val="22"/>
                <w:szCs w:val="22"/>
              </w:rPr>
              <w:t>5</w:t>
            </w:r>
            <w:r>
              <w:rPr>
                <w:rFonts w:hint="eastAsia" w:ascii="仿宋_GB2312" w:hAnsi="Times New Roman" w:eastAsia="仿宋_GB2312"/>
                <w:color w:val="000000"/>
                <w:kern w:val="0"/>
                <w:sz w:val="22"/>
                <w:szCs w:val="22"/>
              </w:rPr>
              <w:t>）</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C101专家实地调研次数</w:t>
            </w:r>
          </w:p>
        </w:tc>
        <w:tc>
          <w:tcPr>
            <w:tcW w:w="709"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w:t>
            </w:r>
            <w:r>
              <w:rPr>
                <w:rFonts w:ascii="仿宋_GB2312" w:hAnsi="Times New Roman" w:eastAsia="仿宋_GB2312"/>
                <w:color w:val="000000"/>
                <w:kern w:val="0"/>
                <w:sz w:val="22"/>
                <w:szCs w:val="22"/>
              </w:rPr>
              <w:t>0</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考察专家实地调研次数</w:t>
            </w:r>
          </w:p>
        </w:tc>
        <w:tc>
          <w:tcPr>
            <w:tcW w:w="992" w:type="dxa"/>
            <w:vAlign w:val="center"/>
          </w:tcPr>
          <w:p>
            <w:pPr>
              <w:widowControl/>
              <w:autoSpaceDE w:val="0"/>
              <w:jc w:val="left"/>
              <w:textAlignment w:val="center"/>
              <w:rPr>
                <w:rFonts w:ascii="仿宋_GB2312" w:hAnsi="Times New Roman" w:eastAsia="仿宋_GB2312"/>
                <w:color w:val="000000"/>
                <w:kern w:val="0"/>
                <w:sz w:val="22"/>
                <w:szCs w:val="22"/>
              </w:rPr>
            </w:pPr>
            <w:r>
              <w:rPr>
                <w:rFonts w:ascii="仿宋_GB2312" w:hAnsi="等线" w:eastAsia="仿宋_GB2312"/>
                <w:color w:val="000000"/>
                <w:sz w:val="22"/>
                <w:szCs w:val="22"/>
              </w:rPr>
              <w:t>2</w:t>
            </w:r>
            <w:r>
              <w:rPr>
                <w:rFonts w:hint="eastAsia" w:ascii="仿宋_GB2312" w:hAnsi="等线" w:eastAsia="仿宋_GB2312"/>
                <w:color w:val="000000"/>
                <w:sz w:val="22"/>
                <w:szCs w:val="22"/>
              </w:rPr>
              <w:t>次</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计划标准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达到目标值得满分，一次不达标扣50%的权重分值，扣完为止。</w:t>
            </w:r>
          </w:p>
        </w:tc>
        <w:tc>
          <w:tcPr>
            <w:tcW w:w="243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根据《吐鲁番“十四五”综合交通运输发展规划》终稿材料核查结果相关资料实际完成专家实地调研1次，故该指标得5分。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ascii="仿宋_GB2312" w:hAnsi="Times New Roman" w:eastAsia="仿宋_GB2312"/>
                <w:color w:val="000000"/>
                <w:kern w:val="0"/>
                <w:sz w:val="22"/>
                <w:szCs w:val="22"/>
              </w:rPr>
              <w:t>5</w:t>
            </w:r>
            <w:r>
              <w:rPr>
                <w:rFonts w:hint="eastAsia" w:ascii="仿宋_GB2312" w:hAnsi="Times New Roman" w:eastAsia="仿宋_GB2312"/>
                <w:color w:val="000000"/>
                <w:kern w:val="0"/>
                <w:sz w:val="22"/>
                <w:szCs w:val="22"/>
              </w:rPr>
              <w:t>.00</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ascii="仿宋_GB2312" w:hAnsi="Times New Roman" w:eastAsia="仿宋_GB2312"/>
                <w:color w:val="000000"/>
                <w:kern w:val="0"/>
                <w:sz w:val="22"/>
                <w:szCs w:val="22"/>
              </w:rPr>
              <w:t>50</w:t>
            </w:r>
            <w:r>
              <w:rPr>
                <w:rFonts w:hint="eastAsia" w:ascii="仿宋_GB2312" w:hAnsi="Times New Roman" w:eastAsia="仿宋_GB2312"/>
                <w:color w:val="000000"/>
                <w:kern w:val="0"/>
                <w:sz w:val="22"/>
                <w:szCs w:val="22"/>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continue"/>
            <w:vAlign w:val="center"/>
          </w:tcPr>
          <w:p>
            <w:pPr>
              <w:widowControl/>
              <w:autoSpaceDE w:val="0"/>
              <w:jc w:val="left"/>
              <w:textAlignment w:val="center"/>
              <w:rPr>
                <w:rFonts w:ascii="仿宋_GB2312" w:hAnsi="Times New Roman" w:eastAsia="仿宋_GB2312"/>
                <w:color w:val="000000"/>
                <w:kern w:val="0"/>
                <w:sz w:val="22"/>
                <w:szCs w:val="22"/>
              </w:rPr>
            </w:pPr>
          </w:p>
        </w:tc>
        <w:tc>
          <w:tcPr>
            <w:tcW w:w="1163" w:type="dxa"/>
            <w:gridSpan w:val="2"/>
            <w:vMerge w:val="continue"/>
            <w:vAlign w:val="center"/>
          </w:tcPr>
          <w:p>
            <w:pPr>
              <w:autoSpaceDE w:val="0"/>
              <w:jc w:val="left"/>
              <w:textAlignment w:val="center"/>
              <w:rPr>
                <w:rFonts w:ascii="仿宋_GB2312" w:hAnsi="Times New Roman" w:eastAsia="仿宋_GB2312"/>
                <w:color w:val="000000"/>
                <w:kern w:val="0"/>
                <w:sz w:val="22"/>
                <w:szCs w:val="22"/>
              </w:rPr>
            </w:pP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等线" w:eastAsia="仿宋_GB2312"/>
                <w:color w:val="000000"/>
                <w:sz w:val="22"/>
                <w:szCs w:val="22"/>
              </w:rPr>
              <w:t>C102编制“十四五”综合交通运输发展规划</w:t>
            </w:r>
          </w:p>
        </w:tc>
        <w:tc>
          <w:tcPr>
            <w:tcW w:w="709"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w:t>
            </w:r>
            <w:r>
              <w:rPr>
                <w:rFonts w:ascii="仿宋_GB2312" w:hAnsi="Times New Roman" w:eastAsia="仿宋_GB2312"/>
                <w:color w:val="000000"/>
                <w:kern w:val="0"/>
                <w:sz w:val="22"/>
                <w:szCs w:val="22"/>
              </w:rPr>
              <w:t>0</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w:t>
            </w:r>
            <w:r>
              <w:rPr>
                <w:rFonts w:hint="eastAsia" w:ascii="仿宋_GB2312" w:hAnsi="等线" w:eastAsia="仿宋_GB2312"/>
                <w:color w:val="000000"/>
                <w:sz w:val="22"/>
                <w:szCs w:val="22"/>
              </w:rPr>
              <w:t>编制“十四五”综合交通运输发展规划</w:t>
            </w:r>
          </w:p>
        </w:tc>
        <w:tc>
          <w:tcPr>
            <w:tcW w:w="99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等线" w:eastAsia="仿宋_GB2312"/>
                <w:color w:val="000000"/>
                <w:sz w:val="22"/>
                <w:szCs w:val="22"/>
              </w:rPr>
              <w:t>1.0本/套</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计划标准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达到目标值得满分，未达到扣除全部分值。</w:t>
            </w:r>
          </w:p>
        </w:tc>
        <w:tc>
          <w:tcPr>
            <w:tcW w:w="243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根据材料核查结果</w:t>
            </w:r>
            <w:r>
              <w:rPr>
                <w:rFonts w:hint="eastAsia" w:ascii="仿宋_GB2312" w:hAnsi="等线" w:eastAsia="仿宋_GB2312"/>
                <w:color w:val="000000"/>
                <w:sz w:val="22"/>
                <w:szCs w:val="22"/>
              </w:rPr>
              <w:t>已编制“十四五”综合交通运输发展规划</w:t>
            </w:r>
            <w:r>
              <w:rPr>
                <w:rFonts w:hint="eastAsia" w:ascii="仿宋_GB2312" w:hAnsi="Times New Roman" w:eastAsia="仿宋_GB2312"/>
                <w:color w:val="000000"/>
                <w:kern w:val="0"/>
                <w:sz w:val="22"/>
                <w:szCs w:val="22"/>
              </w:rPr>
              <w:t>，故该指标得1</w:t>
            </w:r>
            <w:r>
              <w:rPr>
                <w:rFonts w:ascii="仿宋_GB2312" w:hAnsi="Times New Roman" w:eastAsia="仿宋_GB2312"/>
                <w:color w:val="000000"/>
                <w:kern w:val="0"/>
                <w:sz w:val="22"/>
                <w:szCs w:val="22"/>
              </w:rPr>
              <w:t>0</w:t>
            </w:r>
            <w:r>
              <w:rPr>
                <w:rFonts w:hint="eastAsia" w:ascii="仿宋_GB2312" w:hAnsi="Times New Roman" w:eastAsia="仿宋_GB2312"/>
                <w:color w:val="000000"/>
                <w:kern w:val="0"/>
                <w:sz w:val="22"/>
                <w:szCs w:val="22"/>
              </w:rPr>
              <w:t>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ascii="仿宋_GB2312" w:hAnsi="Times New Roman" w:eastAsia="仿宋_GB2312"/>
                <w:color w:val="000000"/>
                <w:kern w:val="0"/>
                <w:sz w:val="22"/>
                <w:szCs w:val="22"/>
              </w:rPr>
              <w:t>10</w:t>
            </w:r>
            <w:r>
              <w:rPr>
                <w:rFonts w:hint="eastAsia" w:ascii="仿宋_GB2312" w:hAnsi="Times New Roman" w:eastAsia="仿宋_GB2312"/>
                <w:color w:val="000000"/>
                <w:kern w:val="0"/>
                <w:sz w:val="22"/>
                <w:szCs w:val="22"/>
              </w:rPr>
              <w:t>.00</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continue"/>
            <w:vAlign w:val="center"/>
          </w:tcPr>
          <w:p>
            <w:pPr>
              <w:widowControl/>
              <w:autoSpaceDE w:val="0"/>
              <w:jc w:val="left"/>
              <w:textAlignment w:val="center"/>
              <w:rPr>
                <w:rFonts w:ascii="仿宋_GB2312" w:hAnsi="Times New Roman" w:eastAsia="仿宋_GB2312"/>
                <w:color w:val="000000"/>
                <w:kern w:val="0"/>
                <w:sz w:val="22"/>
                <w:szCs w:val="22"/>
              </w:rPr>
            </w:pPr>
          </w:p>
        </w:tc>
        <w:tc>
          <w:tcPr>
            <w:tcW w:w="1163" w:type="dxa"/>
            <w:gridSpan w:val="2"/>
            <w:vMerge w:val="continue"/>
            <w:vAlign w:val="center"/>
          </w:tcPr>
          <w:p>
            <w:pPr>
              <w:autoSpaceDE w:val="0"/>
              <w:jc w:val="left"/>
              <w:textAlignment w:val="center"/>
              <w:rPr>
                <w:rFonts w:ascii="仿宋_GB2312" w:hAnsi="Times New Roman" w:eastAsia="仿宋_GB2312"/>
                <w:color w:val="000000"/>
                <w:kern w:val="0"/>
                <w:sz w:val="22"/>
                <w:szCs w:val="22"/>
              </w:rPr>
            </w:pP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等线" w:eastAsia="仿宋_GB2312"/>
                <w:color w:val="000000"/>
                <w:sz w:val="22"/>
                <w:szCs w:val="22"/>
              </w:rPr>
              <w:t>C103规划编制通过率</w:t>
            </w:r>
          </w:p>
        </w:tc>
        <w:tc>
          <w:tcPr>
            <w:tcW w:w="709"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7</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w:t>
            </w:r>
            <w:r>
              <w:rPr>
                <w:rFonts w:hint="eastAsia" w:ascii="仿宋_GB2312" w:hAnsi="等线" w:eastAsia="仿宋_GB2312"/>
                <w:color w:val="000000"/>
                <w:sz w:val="22"/>
                <w:szCs w:val="22"/>
              </w:rPr>
              <w:t>规划编制是否通过</w:t>
            </w:r>
          </w:p>
        </w:tc>
        <w:tc>
          <w:tcPr>
            <w:tcW w:w="99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等线" w:eastAsia="仿宋_GB2312"/>
                <w:color w:val="000000"/>
                <w:sz w:val="22"/>
                <w:szCs w:val="22"/>
              </w:rPr>
              <w:t>1</w:t>
            </w:r>
            <w:r>
              <w:rPr>
                <w:rFonts w:ascii="仿宋_GB2312" w:hAnsi="等线" w:eastAsia="仿宋_GB2312"/>
                <w:color w:val="000000"/>
                <w:sz w:val="22"/>
                <w:szCs w:val="22"/>
              </w:rPr>
              <w:t>00%</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计划标准</w:t>
            </w:r>
          </w:p>
        </w:tc>
        <w:tc>
          <w:tcPr>
            <w:tcW w:w="1134"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达到目标值得满分，未达到目标值扣除全部分值。</w:t>
            </w:r>
          </w:p>
        </w:tc>
        <w:tc>
          <w:tcPr>
            <w:tcW w:w="2432"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根据材料核查结果</w:t>
            </w:r>
            <w:r>
              <w:rPr>
                <w:rFonts w:hint="eastAsia" w:ascii="仿宋_GB2312" w:hAnsi="等线" w:eastAsia="仿宋_GB2312"/>
                <w:color w:val="000000"/>
                <w:sz w:val="22"/>
                <w:szCs w:val="22"/>
              </w:rPr>
              <w:t>规划编制合格</w:t>
            </w:r>
            <w:r>
              <w:rPr>
                <w:rFonts w:hint="eastAsia" w:ascii="仿宋_GB2312" w:hAnsi="Times New Roman" w:eastAsia="仿宋_GB2312"/>
                <w:color w:val="000000"/>
                <w:kern w:val="0"/>
                <w:sz w:val="22"/>
                <w:szCs w:val="22"/>
              </w:rPr>
              <w:t>，故该指标得7分。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ascii="仿宋_GB2312" w:hAnsi="Times New Roman" w:eastAsia="仿宋_GB2312"/>
                <w:color w:val="000000"/>
                <w:kern w:val="0"/>
                <w:sz w:val="22"/>
                <w:szCs w:val="22"/>
              </w:rPr>
              <w:t>7</w:t>
            </w:r>
            <w:r>
              <w:rPr>
                <w:rFonts w:hint="eastAsia" w:ascii="仿宋_GB2312" w:hAnsi="Times New Roman" w:eastAsia="仿宋_GB2312"/>
                <w:color w:val="000000"/>
                <w:kern w:val="0"/>
                <w:sz w:val="22"/>
                <w:szCs w:val="22"/>
              </w:rPr>
              <w:t>.00</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continue"/>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p>
        </w:tc>
        <w:tc>
          <w:tcPr>
            <w:tcW w:w="1163" w:type="dxa"/>
            <w:gridSpan w:val="2"/>
            <w:vMerge w:val="continue"/>
            <w:shd w:val="clear" w:color="auto" w:fill="auto"/>
            <w:vAlign w:val="center"/>
          </w:tcPr>
          <w:p>
            <w:pPr>
              <w:autoSpaceDE w:val="0"/>
              <w:jc w:val="left"/>
              <w:textAlignment w:val="center"/>
              <w:rPr>
                <w:rFonts w:ascii="仿宋_GB2312" w:hAnsi="Times New Roman" w:eastAsia="仿宋_GB2312"/>
                <w:color w:val="000000"/>
                <w:kern w:val="0"/>
                <w:sz w:val="22"/>
                <w:szCs w:val="22"/>
              </w:rPr>
            </w:pP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等线" w:eastAsia="仿宋_GB2312"/>
                <w:color w:val="000000"/>
                <w:sz w:val="22"/>
                <w:szCs w:val="22"/>
              </w:rPr>
              <w:t>C104推动我市交通运输高质量发展</w:t>
            </w:r>
          </w:p>
        </w:tc>
        <w:tc>
          <w:tcPr>
            <w:tcW w:w="709"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7</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考察是否</w:t>
            </w:r>
            <w:r>
              <w:rPr>
                <w:rFonts w:hint="eastAsia" w:ascii="仿宋_GB2312" w:hAnsi="等线" w:eastAsia="仿宋_GB2312"/>
                <w:color w:val="000000"/>
                <w:sz w:val="22"/>
                <w:szCs w:val="22"/>
              </w:rPr>
              <w:t>推动我市交通运输高质量发展</w:t>
            </w:r>
          </w:p>
        </w:tc>
        <w:tc>
          <w:tcPr>
            <w:tcW w:w="992"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有效推动</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计划标准</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达到目标值得满分，低于则每降低1%扣除5%的权重分，扣完为止。</w:t>
            </w:r>
          </w:p>
        </w:tc>
        <w:tc>
          <w:tcPr>
            <w:tcW w:w="2432" w:type="dxa"/>
            <w:shd w:val="clear" w:color="000000" w:fill="FFFFFF"/>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吐鲁番市综合交通“十四五”时期发展方向，为构建安全、便捷、高效、绿色、经济的现代化综合交通体系奠定基础，为推动吐鲁番高质量发展、迈向长治久安提供了有效保障，故该指标得7分。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ascii="仿宋_GB2312" w:hAnsi="Times New Roman" w:eastAsia="仿宋_GB2312"/>
                <w:color w:val="000000"/>
                <w:kern w:val="0"/>
                <w:sz w:val="22"/>
                <w:szCs w:val="22"/>
              </w:rPr>
              <w:t>7</w:t>
            </w:r>
            <w:r>
              <w:rPr>
                <w:rFonts w:hint="eastAsia" w:ascii="仿宋_GB2312" w:hAnsi="Times New Roman" w:eastAsia="仿宋_GB2312"/>
                <w:color w:val="000000"/>
                <w:kern w:val="0"/>
                <w:sz w:val="22"/>
                <w:szCs w:val="22"/>
              </w:rPr>
              <w:t xml:space="preserve">.00 </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continue"/>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p>
        </w:tc>
        <w:tc>
          <w:tcPr>
            <w:tcW w:w="1163" w:type="dxa"/>
            <w:gridSpan w:val="2"/>
            <w:vMerge w:val="continue"/>
            <w:shd w:val="clear" w:color="auto" w:fill="auto"/>
            <w:vAlign w:val="center"/>
          </w:tcPr>
          <w:p>
            <w:pPr>
              <w:autoSpaceDE w:val="0"/>
              <w:jc w:val="left"/>
              <w:textAlignment w:val="center"/>
              <w:rPr>
                <w:rFonts w:ascii="仿宋_GB2312" w:hAnsi="Times New Roman" w:eastAsia="仿宋_GB2312"/>
                <w:color w:val="000000"/>
                <w:kern w:val="0"/>
                <w:sz w:val="22"/>
                <w:szCs w:val="22"/>
              </w:rPr>
            </w:pPr>
          </w:p>
        </w:tc>
        <w:tc>
          <w:tcPr>
            <w:tcW w:w="1134" w:type="dxa"/>
            <w:shd w:val="clear" w:color="auto" w:fill="auto"/>
            <w:vAlign w:val="center"/>
          </w:tcPr>
          <w:p>
            <w:pPr>
              <w:widowControl/>
              <w:autoSpaceDE w:val="0"/>
              <w:jc w:val="left"/>
              <w:textAlignment w:val="center"/>
              <w:rPr>
                <w:rFonts w:ascii="仿宋_GB2312" w:hAnsi="等线" w:eastAsia="仿宋_GB2312"/>
                <w:color w:val="000000"/>
                <w:sz w:val="22"/>
                <w:szCs w:val="22"/>
              </w:rPr>
            </w:pPr>
            <w:r>
              <w:rPr>
                <w:rFonts w:hint="eastAsia" w:ascii="仿宋_GB2312" w:hAnsi="等线" w:eastAsia="仿宋_GB2312"/>
                <w:color w:val="000000"/>
                <w:sz w:val="22"/>
                <w:szCs w:val="22"/>
              </w:rPr>
              <w:t>C</w:t>
            </w:r>
            <w:r>
              <w:rPr>
                <w:rFonts w:ascii="仿宋_GB2312" w:hAnsi="等线" w:eastAsia="仿宋_GB2312"/>
                <w:color w:val="000000"/>
                <w:sz w:val="22"/>
                <w:szCs w:val="22"/>
              </w:rPr>
              <w:t>105</w:t>
            </w:r>
            <w:r>
              <w:rPr>
                <w:rFonts w:hint="eastAsia" w:ascii="仿宋_GB2312" w:hAnsi="等线" w:eastAsia="仿宋_GB2312"/>
                <w:color w:val="000000"/>
                <w:sz w:val="22"/>
                <w:szCs w:val="22"/>
              </w:rPr>
              <w:t>总结梳理吐鲁番市“十三五”时期交通运输发展成就和存在的问题</w:t>
            </w:r>
          </w:p>
        </w:tc>
        <w:tc>
          <w:tcPr>
            <w:tcW w:w="709"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7</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考察是否</w:t>
            </w:r>
            <w:r>
              <w:rPr>
                <w:rFonts w:hint="eastAsia" w:ascii="仿宋_GB2312" w:hAnsi="等线" w:eastAsia="仿宋_GB2312"/>
                <w:color w:val="000000"/>
                <w:sz w:val="22"/>
                <w:szCs w:val="22"/>
              </w:rPr>
              <w:t>总结梳理吐鲁番市“十三五”时期交通运输发展成就和存在的问题</w:t>
            </w:r>
          </w:p>
        </w:tc>
        <w:tc>
          <w:tcPr>
            <w:tcW w:w="992" w:type="dxa"/>
            <w:shd w:val="clear" w:color="auto" w:fill="auto"/>
            <w:vAlign w:val="center"/>
          </w:tcPr>
          <w:p>
            <w:pPr>
              <w:widowControl/>
              <w:autoSpaceDE w:val="0"/>
              <w:ind w:firstLine="220" w:firstLineChars="100"/>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充分</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计划标准</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达到目标值得满分，低于则每降低1%扣除5%的权重分，扣完为止。</w:t>
            </w:r>
          </w:p>
        </w:tc>
        <w:tc>
          <w:tcPr>
            <w:tcW w:w="2432" w:type="dxa"/>
            <w:shd w:val="clear" w:color="000000" w:fill="FFFFFF"/>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根据单位提供《吐鲁番“十四五”综合交通运输发展规划》终稿达到目标值，故该指标得7分。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r>
              <w:rPr>
                <w:rFonts w:ascii="仿宋_GB2312" w:hAnsi="Times New Roman" w:eastAsia="仿宋_GB2312"/>
                <w:color w:val="000000"/>
                <w:kern w:val="0"/>
                <w:sz w:val="22"/>
                <w:szCs w:val="22"/>
              </w:rPr>
              <w:t>7</w:t>
            </w:r>
            <w:r>
              <w:rPr>
                <w:rFonts w:hint="eastAsia" w:ascii="仿宋_GB2312" w:hAnsi="Times New Roman" w:eastAsia="仿宋_GB2312"/>
                <w:color w:val="000000"/>
                <w:kern w:val="0"/>
                <w:sz w:val="22"/>
                <w:szCs w:val="22"/>
              </w:rPr>
              <w:t xml:space="preserve">.00 </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continue"/>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p>
        </w:tc>
        <w:tc>
          <w:tcPr>
            <w:tcW w:w="1163" w:type="dxa"/>
            <w:gridSpan w:val="2"/>
            <w:vMerge w:val="continue"/>
            <w:shd w:val="clear" w:color="auto" w:fill="auto"/>
            <w:vAlign w:val="center"/>
          </w:tcPr>
          <w:p>
            <w:pPr>
              <w:autoSpaceDE w:val="0"/>
              <w:jc w:val="left"/>
              <w:textAlignment w:val="center"/>
              <w:rPr>
                <w:rFonts w:ascii="仿宋_GB2312" w:hAnsi="Times New Roman" w:eastAsia="仿宋_GB2312"/>
                <w:color w:val="000000"/>
                <w:kern w:val="0"/>
                <w:sz w:val="22"/>
                <w:szCs w:val="22"/>
              </w:rPr>
            </w:pPr>
          </w:p>
        </w:tc>
        <w:tc>
          <w:tcPr>
            <w:tcW w:w="1134" w:type="dxa"/>
            <w:shd w:val="clear" w:color="auto" w:fill="auto"/>
            <w:vAlign w:val="center"/>
          </w:tcPr>
          <w:p>
            <w:pPr>
              <w:widowControl/>
              <w:autoSpaceDE w:val="0"/>
              <w:jc w:val="left"/>
              <w:textAlignment w:val="center"/>
              <w:rPr>
                <w:rFonts w:ascii="仿宋_GB2312" w:hAnsi="等线" w:eastAsia="仿宋_GB2312"/>
                <w:color w:val="000000"/>
                <w:sz w:val="22"/>
                <w:szCs w:val="22"/>
              </w:rPr>
            </w:pPr>
            <w:r>
              <w:rPr>
                <w:rFonts w:hint="eastAsia" w:ascii="仿宋_GB2312" w:hAnsi="等线" w:eastAsia="仿宋_GB2312"/>
                <w:color w:val="000000"/>
                <w:sz w:val="22"/>
                <w:szCs w:val="22"/>
              </w:rPr>
              <w:t>C</w:t>
            </w:r>
            <w:r>
              <w:rPr>
                <w:rFonts w:ascii="仿宋_GB2312" w:hAnsi="等线" w:eastAsia="仿宋_GB2312"/>
                <w:color w:val="000000"/>
                <w:sz w:val="22"/>
                <w:szCs w:val="22"/>
              </w:rPr>
              <w:t>106</w:t>
            </w:r>
            <w:r>
              <w:rPr>
                <w:rFonts w:hint="eastAsia" w:ascii="仿宋_GB2312" w:hAnsi="等线" w:eastAsia="仿宋_GB2312"/>
                <w:color w:val="000000"/>
                <w:sz w:val="22"/>
                <w:szCs w:val="22"/>
              </w:rPr>
              <w:t>分析研判吐鲁番市“十四五”时期交通发展面临的形势和任务</w:t>
            </w:r>
          </w:p>
        </w:tc>
        <w:tc>
          <w:tcPr>
            <w:tcW w:w="709"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7</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考察是否</w:t>
            </w:r>
            <w:r>
              <w:rPr>
                <w:rFonts w:hint="eastAsia" w:ascii="仿宋_GB2312" w:hAnsi="等线" w:eastAsia="仿宋_GB2312"/>
                <w:color w:val="000000"/>
                <w:sz w:val="22"/>
                <w:szCs w:val="22"/>
              </w:rPr>
              <w:t>分析研判吐鲁番市“十四五”时期交通发展面临的形势和任务</w:t>
            </w:r>
          </w:p>
        </w:tc>
        <w:tc>
          <w:tcPr>
            <w:tcW w:w="992" w:type="dxa"/>
            <w:shd w:val="clear" w:color="auto" w:fill="auto"/>
            <w:vAlign w:val="center"/>
          </w:tcPr>
          <w:p>
            <w:pPr>
              <w:widowControl/>
              <w:autoSpaceDE w:val="0"/>
              <w:ind w:firstLine="220" w:firstLineChars="100"/>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充分</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计划标准</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达到目标值得满分，低于则每降低1%扣除5%的权重分，扣完为止。</w:t>
            </w:r>
          </w:p>
        </w:tc>
        <w:tc>
          <w:tcPr>
            <w:tcW w:w="2432" w:type="dxa"/>
            <w:shd w:val="clear" w:color="000000" w:fill="FFFFFF"/>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根据《吐鲁番“十四五”综合交通运输发展规划》终稿到目标值，故该指标得8分。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r>
              <w:rPr>
                <w:rFonts w:ascii="仿宋_GB2312" w:hAnsi="Times New Roman" w:eastAsia="仿宋_GB2312"/>
                <w:color w:val="000000"/>
                <w:kern w:val="0"/>
                <w:sz w:val="22"/>
                <w:szCs w:val="22"/>
              </w:rPr>
              <w:t>7</w:t>
            </w:r>
            <w:r>
              <w:rPr>
                <w:rFonts w:hint="eastAsia" w:ascii="仿宋_GB2312" w:hAnsi="Times New Roman" w:eastAsia="仿宋_GB2312"/>
                <w:color w:val="000000"/>
                <w:kern w:val="0"/>
                <w:sz w:val="22"/>
                <w:szCs w:val="22"/>
              </w:rPr>
              <w:t>.00</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vMerge w:val="continue"/>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p>
        </w:tc>
        <w:tc>
          <w:tcPr>
            <w:tcW w:w="1163" w:type="dxa"/>
            <w:gridSpan w:val="2"/>
            <w:vMerge w:val="continue"/>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C</w:t>
            </w:r>
            <w:r>
              <w:rPr>
                <w:rFonts w:ascii="仿宋_GB2312" w:hAnsi="Times New Roman" w:eastAsia="仿宋_GB2312"/>
                <w:color w:val="000000"/>
                <w:kern w:val="0"/>
                <w:sz w:val="22"/>
                <w:szCs w:val="22"/>
              </w:rPr>
              <w:t>107</w:t>
            </w:r>
            <w:r>
              <w:rPr>
                <w:rFonts w:hint="eastAsia" w:ascii="仿宋_GB2312" w:hAnsi="Times New Roman" w:eastAsia="仿宋_GB2312"/>
                <w:color w:val="000000"/>
                <w:kern w:val="0"/>
                <w:sz w:val="22"/>
                <w:szCs w:val="22"/>
              </w:rPr>
              <w:t>提出具有指导性和前瞻性的规划方案、建设任务和投资安排</w:t>
            </w:r>
          </w:p>
        </w:tc>
        <w:tc>
          <w:tcPr>
            <w:tcW w:w="709"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7</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考察是否提出具有指导性和前瞻性的规划方案、建设任务和投资安排</w:t>
            </w:r>
          </w:p>
        </w:tc>
        <w:tc>
          <w:tcPr>
            <w:tcW w:w="992" w:type="dxa"/>
            <w:shd w:val="clear" w:color="auto" w:fill="auto"/>
            <w:vAlign w:val="center"/>
          </w:tcPr>
          <w:p>
            <w:pPr>
              <w:widowControl/>
              <w:autoSpaceDE w:val="0"/>
              <w:ind w:firstLine="220" w:firstLineChars="10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充分</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计划标准</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达到目标值得满分，低于则每降低1%扣除5%的权重分，扣完为止。</w:t>
            </w:r>
          </w:p>
        </w:tc>
        <w:tc>
          <w:tcPr>
            <w:tcW w:w="2432" w:type="dxa"/>
            <w:shd w:val="clear" w:color="000000" w:fill="FFFFFF"/>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根据《吐鲁番“十四五”综合交通运输发展规划》终稿达到目标值，故该指标得7分。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r>
              <w:rPr>
                <w:rFonts w:ascii="仿宋_GB2312" w:hAnsi="Times New Roman" w:eastAsia="仿宋_GB2312"/>
                <w:color w:val="000000"/>
                <w:kern w:val="0"/>
                <w:sz w:val="22"/>
                <w:szCs w:val="22"/>
              </w:rPr>
              <w:t>7</w:t>
            </w:r>
            <w:r>
              <w:rPr>
                <w:rFonts w:hint="eastAsia" w:ascii="仿宋_GB2312" w:hAnsi="Times New Roman" w:eastAsia="仿宋_GB2312"/>
                <w:color w:val="000000"/>
                <w:kern w:val="0"/>
                <w:sz w:val="22"/>
                <w:szCs w:val="22"/>
              </w:rPr>
              <w:t>.00</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0"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D满意度</w:t>
            </w:r>
          </w:p>
        </w:tc>
        <w:tc>
          <w:tcPr>
            <w:tcW w:w="1163" w:type="dxa"/>
            <w:gridSpan w:val="2"/>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D</w:t>
            </w:r>
            <w:r>
              <w:rPr>
                <w:rFonts w:ascii="仿宋_GB2312" w:hAnsi="Times New Roman" w:eastAsia="仿宋_GB2312"/>
                <w:color w:val="000000"/>
                <w:kern w:val="0"/>
                <w:sz w:val="22"/>
                <w:szCs w:val="22"/>
              </w:rPr>
              <w:t>1</w:t>
            </w:r>
            <w:r>
              <w:rPr>
                <w:rFonts w:hint="eastAsia" w:ascii="仿宋_GB2312" w:hAnsi="Times New Roman" w:eastAsia="仿宋_GB2312"/>
                <w:color w:val="000000"/>
                <w:kern w:val="0"/>
                <w:sz w:val="22"/>
                <w:szCs w:val="22"/>
              </w:rPr>
              <w:t>满意度（8）</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D</w:t>
            </w:r>
            <w:r>
              <w:rPr>
                <w:rFonts w:ascii="仿宋_GB2312" w:hAnsi="Times New Roman" w:eastAsia="仿宋_GB2312"/>
                <w:color w:val="000000"/>
                <w:kern w:val="0"/>
                <w:sz w:val="22"/>
                <w:szCs w:val="22"/>
              </w:rPr>
              <w:t>1</w:t>
            </w:r>
            <w:r>
              <w:rPr>
                <w:rFonts w:hint="eastAsia" w:ascii="仿宋_GB2312" w:hAnsi="Times New Roman" w:eastAsia="仿宋_GB2312"/>
                <w:color w:val="000000"/>
                <w:kern w:val="0"/>
                <w:sz w:val="22"/>
                <w:szCs w:val="22"/>
              </w:rPr>
              <w:t>01受益群众满意度（%）</w:t>
            </w:r>
          </w:p>
        </w:tc>
        <w:tc>
          <w:tcPr>
            <w:tcW w:w="709"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8</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考察受益群众满意度。</w:t>
            </w:r>
          </w:p>
        </w:tc>
        <w:tc>
          <w:tcPr>
            <w:tcW w:w="992"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≥95%</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计划标准</w:t>
            </w:r>
          </w:p>
        </w:tc>
        <w:tc>
          <w:tcPr>
            <w:tcW w:w="1134" w:type="dxa"/>
            <w:shd w:val="clear" w:color="auto" w:fill="auto"/>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达到目标值得满分，低于则每降低1%扣除5%的权重分，扣完为止。</w:t>
            </w:r>
          </w:p>
        </w:tc>
        <w:tc>
          <w:tcPr>
            <w:tcW w:w="2432" w:type="dxa"/>
            <w:shd w:val="clear" w:color="000000" w:fill="FFFFFF"/>
            <w:vAlign w:val="center"/>
          </w:tcPr>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根据项目绩效自评表完成值为95%，故该指标得8分</w:t>
            </w:r>
          </w:p>
        </w:tc>
        <w:tc>
          <w:tcPr>
            <w:tcW w:w="770" w:type="dxa"/>
            <w:vAlign w:val="center"/>
          </w:tcPr>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8.00</w:t>
            </w:r>
          </w:p>
        </w:tc>
        <w:tc>
          <w:tcPr>
            <w:tcW w:w="986" w:type="dxa"/>
            <w:vAlign w:val="center"/>
          </w:tcPr>
          <w:p>
            <w:pPr>
              <w:widowControl/>
              <w:autoSpaceDE w:val="0"/>
              <w:jc w:val="left"/>
              <w:textAlignment w:val="center"/>
              <w:rPr>
                <w:rFonts w:ascii="仿宋_GB2312" w:hAnsi="Times New Roman" w:eastAsia="仿宋_GB2312"/>
                <w:color w:val="000000"/>
                <w:kern w:val="0"/>
                <w:sz w:val="22"/>
                <w:szCs w:val="22"/>
              </w:rPr>
            </w:pPr>
          </w:p>
          <w:p>
            <w:pPr>
              <w:widowControl/>
              <w:autoSpaceDE w:val="0"/>
              <w:jc w:val="left"/>
              <w:textAlignment w:val="center"/>
              <w:rPr>
                <w:rFonts w:ascii="仿宋_GB2312" w:hAnsi="Times New Roman" w:eastAsia="仿宋_GB2312"/>
                <w:color w:val="000000"/>
                <w:kern w:val="0"/>
                <w:sz w:val="22"/>
                <w:szCs w:val="22"/>
              </w:rPr>
            </w:pPr>
            <w:r>
              <w:rPr>
                <w:rFonts w:hint="eastAsia" w:ascii="仿宋_GB2312" w:hAnsi="Times New Roman" w:eastAsia="仿宋_GB2312"/>
                <w:color w:val="000000"/>
                <w:kern w:val="0"/>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7" w:type="dxa"/>
            <w:gridSpan w:val="4"/>
            <w:vAlign w:val="center"/>
          </w:tcPr>
          <w:p>
            <w:pPr>
              <w:widowControl/>
              <w:spacing w:line="580" w:lineRule="exact"/>
              <w:jc w:val="center"/>
              <w:textAlignment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总分</w:t>
            </w:r>
          </w:p>
        </w:tc>
        <w:tc>
          <w:tcPr>
            <w:tcW w:w="709" w:type="dxa"/>
            <w:vAlign w:val="center"/>
          </w:tcPr>
          <w:p>
            <w:pPr>
              <w:widowControl/>
              <w:spacing w:line="580" w:lineRule="exact"/>
              <w:jc w:val="center"/>
              <w:textAlignment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100</w:t>
            </w:r>
          </w:p>
        </w:tc>
        <w:tc>
          <w:tcPr>
            <w:tcW w:w="1134" w:type="dxa"/>
            <w:vAlign w:val="center"/>
          </w:tcPr>
          <w:p>
            <w:pPr>
              <w:widowControl/>
              <w:spacing w:line="580" w:lineRule="exact"/>
              <w:jc w:val="center"/>
              <w:textAlignment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w:t>
            </w:r>
          </w:p>
        </w:tc>
        <w:tc>
          <w:tcPr>
            <w:tcW w:w="992" w:type="dxa"/>
            <w:vAlign w:val="center"/>
          </w:tcPr>
          <w:p>
            <w:pPr>
              <w:widowControl/>
              <w:spacing w:line="580" w:lineRule="exact"/>
              <w:jc w:val="center"/>
              <w:textAlignment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w:t>
            </w:r>
          </w:p>
        </w:tc>
        <w:tc>
          <w:tcPr>
            <w:tcW w:w="1134" w:type="dxa"/>
            <w:vAlign w:val="center"/>
          </w:tcPr>
          <w:p>
            <w:pPr>
              <w:widowControl/>
              <w:spacing w:line="580" w:lineRule="exact"/>
              <w:jc w:val="center"/>
              <w:textAlignment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w:t>
            </w:r>
          </w:p>
        </w:tc>
        <w:tc>
          <w:tcPr>
            <w:tcW w:w="1134" w:type="dxa"/>
            <w:vAlign w:val="center"/>
          </w:tcPr>
          <w:p>
            <w:pPr>
              <w:widowControl/>
              <w:spacing w:line="580" w:lineRule="exact"/>
              <w:jc w:val="center"/>
              <w:textAlignment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w:t>
            </w:r>
          </w:p>
        </w:tc>
        <w:tc>
          <w:tcPr>
            <w:tcW w:w="2432" w:type="dxa"/>
            <w:vAlign w:val="center"/>
          </w:tcPr>
          <w:p>
            <w:pPr>
              <w:widowControl/>
              <w:spacing w:line="580" w:lineRule="exact"/>
              <w:jc w:val="center"/>
              <w:rPr>
                <w:rFonts w:ascii="仿宋_GB2312" w:hAnsi="Times New Roman" w:eastAsia="仿宋_GB2312"/>
                <w:color w:val="000000"/>
                <w:kern w:val="0"/>
                <w:sz w:val="22"/>
                <w:szCs w:val="22"/>
              </w:rPr>
            </w:pPr>
          </w:p>
        </w:tc>
        <w:tc>
          <w:tcPr>
            <w:tcW w:w="770" w:type="dxa"/>
            <w:vAlign w:val="center"/>
          </w:tcPr>
          <w:p>
            <w:pPr>
              <w:widowControl/>
              <w:spacing w:line="580" w:lineRule="exact"/>
              <w:jc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92.6</w:t>
            </w:r>
          </w:p>
        </w:tc>
        <w:tc>
          <w:tcPr>
            <w:tcW w:w="986" w:type="dxa"/>
            <w:vAlign w:val="center"/>
          </w:tcPr>
          <w:p>
            <w:pPr>
              <w:widowControl/>
              <w:spacing w:line="580" w:lineRule="exact"/>
              <w:jc w:val="center"/>
              <w:rPr>
                <w:rFonts w:ascii="仿宋_GB2312" w:hAnsi="Times New Roman" w:eastAsia="仿宋_GB2312"/>
                <w:b/>
                <w:bCs/>
                <w:color w:val="000000"/>
                <w:kern w:val="0"/>
                <w:sz w:val="22"/>
                <w:szCs w:val="22"/>
              </w:rPr>
            </w:pPr>
            <w:r>
              <w:rPr>
                <w:rFonts w:hint="eastAsia" w:ascii="仿宋_GB2312" w:hAnsi="Times New Roman" w:eastAsia="仿宋_GB2312"/>
                <w:b/>
                <w:bCs/>
                <w:color w:val="000000"/>
                <w:kern w:val="0"/>
                <w:sz w:val="22"/>
                <w:szCs w:val="22"/>
              </w:rPr>
              <w:t>9</w:t>
            </w:r>
            <w:r>
              <w:rPr>
                <w:rFonts w:ascii="仿宋_GB2312" w:hAnsi="Times New Roman" w:eastAsia="仿宋_GB2312"/>
                <w:b/>
                <w:bCs/>
                <w:color w:val="000000"/>
                <w:kern w:val="0"/>
                <w:sz w:val="22"/>
                <w:szCs w:val="22"/>
              </w:rPr>
              <w:t>2.60</w:t>
            </w:r>
            <w:r>
              <w:rPr>
                <w:rFonts w:hint="eastAsia" w:ascii="仿宋_GB2312" w:hAnsi="Times New Roman" w:eastAsia="仿宋_GB2312"/>
                <w:b/>
                <w:bCs/>
                <w:color w:val="000000"/>
                <w:kern w:val="0"/>
                <w:sz w:val="22"/>
                <w:szCs w:val="22"/>
              </w:rPr>
              <w:t>%</w:t>
            </w:r>
          </w:p>
        </w:tc>
      </w:tr>
    </w:tbl>
    <w:p>
      <w:pPr>
        <w:pStyle w:val="86"/>
      </w:pPr>
    </w:p>
    <w:bookmarkEnd w:id="19"/>
    <w:bookmarkEnd w:id="20"/>
    <w:bookmarkEnd w:id="21"/>
    <w:p>
      <w:pPr>
        <w:pStyle w:val="32"/>
        <w:spacing w:line="240" w:lineRule="auto"/>
        <w:ind w:firstLine="0" w:firstLineChars="0"/>
        <w:rPr>
          <w:b/>
          <w:sz w:val="24"/>
          <w:szCs w:val="24"/>
        </w:rPr>
      </w:pPr>
    </w:p>
    <w:p>
      <w:pPr>
        <w:pStyle w:val="2"/>
        <w:rPr>
          <w:rFonts w:ascii="Times New Roman" w:hAnsi="Times New Roman" w:eastAsia="仿宋_GB2312"/>
          <w:kern w:val="0"/>
        </w:rPr>
      </w:pPr>
      <w:r>
        <w:br w:type="page"/>
      </w:r>
    </w:p>
    <w:p>
      <w:pPr>
        <w:pStyle w:val="32"/>
        <w:spacing w:line="240" w:lineRule="auto"/>
        <w:ind w:firstLine="0" w:firstLineChars="0"/>
        <w:rPr>
          <w:b/>
          <w:sz w:val="24"/>
          <w:szCs w:val="24"/>
        </w:rPr>
        <w:sectPr>
          <w:headerReference r:id="rId8" w:type="default"/>
          <w:footerReference r:id="rId9" w:type="default"/>
          <w:pgSz w:w="16838" w:h="11906" w:orient="landscape"/>
          <w:pgMar w:top="1531" w:right="2155" w:bottom="1531" w:left="1985" w:header="851" w:footer="1701" w:gutter="0"/>
          <w:cols w:space="0" w:num="1"/>
          <w:docGrid w:linePitch="312" w:charSpace="0"/>
        </w:sectPr>
      </w:pPr>
    </w:p>
    <w:p>
      <w:pPr>
        <w:pStyle w:val="32"/>
        <w:spacing w:line="560" w:lineRule="exact"/>
        <w:ind w:firstLine="0" w:firstLineChars="0"/>
        <w:outlineLvl w:val="0"/>
        <w:rPr>
          <w:rFonts w:ascii="黑体" w:hAnsi="黑体" w:eastAsia="黑体"/>
          <w:bCs/>
          <w:sz w:val="32"/>
          <w:szCs w:val="32"/>
        </w:rPr>
      </w:pPr>
      <w:r>
        <w:rPr>
          <w:rFonts w:hint="eastAsia" w:ascii="黑体" w:hAnsi="黑体" w:eastAsia="黑体"/>
          <w:bCs/>
          <w:sz w:val="32"/>
          <w:szCs w:val="32"/>
        </w:rPr>
        <w:t>附件2访谈报告</w:t>
      </w:r>
    </w:p>
    <w:p>
      <w:pPr>
        <w:spacing w:line="700" w:lineRule="exact"/>
        <w:jc w:val="center"/>
        <w:rPr>
          <w:rFonts w:ascii="黑体" w:hAnsi="黑体" w:eastAsia="黑体" w:cs="黑体"/>
          <w:sz w:val="32"/>
          <w:szCs w:val="32"/>
        </w:rPr>
      </w:pPr>
      <w:r>
        <w:rPr>
          <w:rFonts w:hint="eastAsia" w:ascii="黑体" w:hAnsi="黑体" w:eastAsia="黑体"/>
          <w:w w:val="94"/>
          <w:sz w:val="32"/>
          <w:szCs w:val="32"/>
        </w:rPr>
        <w:t>吐鲁番市交通运输局关于《吐鲁番市“十四五”综合交通运输发展规划》编制项目访谈报告</w:t>
      </w:r>
      <w:r>
        <w:rPr>
          <w:rFonts w:hint="eastAsia" w:ascii="黑体" w:hAnsi="黑体" w:eastAsia="黑体" w:cs="黑体"/>
          <w:sz w:val="32"/>
          <w:szCs w:val="32"/>
        </w:rPr>
        <w:t xml:space="preserve"> </w:t>
      </w:r>
    </w:p>
    <w:p>
      <w:pPr>
        <w:widowControl/>
        <w:overflowPunct w:val="0"/>
        <w:autoSpaceDE w:val="0"/>
        <w:autoSpaceDN w:val="0"/>
        <w:adjustRightInd w:val="0"/>
        <w:spacing w:line="560" w:lineRule="exact"/>
        <w:ind w:firstLine="640" w:firstLineChars="200"/>
        <w:textAlignment w:val="baseline"/>
        <w:rPr>
          <w:rFonts w:ascii="黑体" w:hAnsi="黑体" w:eastAsia="黑体"/>
          <w:bCs/>
          <w:kern w:val="0"/>
          <w:sz w:val="32"/>
          <w:szCs w:val="28"/>
        </w:rPr>
      </w:pPr>
      <w:bookmarkStart w:id="131" w:name="_Toc7597"/>
      <w:bookmarkStart w:id="132" w:name="_Toc28033"/>
      <w:bookmarkStart w:id="133" w:name="_Toc9009"/>
      <w:r>
        <w:rPr>
          <w:rFonts w:hint="eastAsia" w:ascii="黑体" w:hAnsi="黑体" w:eastAsia="黑体"/>
          <w:bCs/>
          <w:kern w:val="0"/>
          <w:sz w:val="32"/>
          <w:szCs w:val="28"/>
        </w:rPr>
        <w:t>一、</w:t>
      </w:r>
      <w:bookmarkStart w:id="134" w:name="_Toc1410"/>
      <w:r>
        <w:rPr>
          <w:rFonts w:hint="eastAsia" w:ascii="黑体" w:hAnsi="黑体" w:eastAsia="黑体"/>
          <w:bCs/>
          <w:kern w:val="0"/>
          <w:sz w:val="32"/>
          <w:szCs w:val="28"/>
        </w:rPr>
        <w:t>访谈对象</w:t>
      </w:r>
      <w:bookmarkEnd w:id="131"/>
      <w:bookmarkEnd w:id="132"/>
      <w:bookmarkEnd w:id="133"/>
      <w:bookmarkEnd w:id="134"/>
    </w:p>
    <w:p>
      <w:pPr>
        <w:pStyle w:val="32"/>
        <w:ind w:firstLineChars="0"/>
        <w:rPr>
          <w:rFonts w:ascii="仿宋_GB2312" w:hAnsi="仿宋" w:cs="仿宋"/>
          <w:sz w:val="32"/>
          <w:szCs w:val="32"/>
        </w:rPr>
      </w:pPr>
      <w:r>
        <w:rPr>
          <w:rFonts w:hint="eastAsia" w:ascii="仿宋_GB2312" w:hAnsi="仿宋" w:cs="仿宋"/>
          <w:sz w:val="32"/>
          <w:szCs w:val="32"/>
        </w:rPr>
        <w:t xml:space="preserve">1.项目主管单位：吐鲁番市交通运输局 </w:t>
      </w:r>
    </w:p>
    <w:p>
      <w:pPr>
        <w:widowControl/>
        <w:overflowPunct w:val="0"/>
        <w:autoSpaceDE w:val="0"/>
        <w:autoSpaceDN w:val="0"/>
        <w:adjustRightInd w:val="0"/>
        <w:spacing w:line="560" w:lineRule="exact"/>
        <w:ind w:firstLine="640" w:firstLineChars="200"/>
        <w:textAlignment w:val="baseline"/>
        <w:rPr>
          <w:rFonts w:ascii="黑体" w:hAnsi="黑体" w:eastAsia="黑体"/>
          <w:bCs/>
          <w:kern w:val="0"/>
          <w:sz w:val="32"/>
          <w:szCs w:val="28"/>
        </w:rPr>
      </w:pPr>
      <w:bookmarkStart w:id="135" w:name="_Toc30226"/>
      <w:bookmarkStart w:id="136" w:name="_Toc24588"/>
      <w:bookmarkStart w:id="137" w:name="_Toc889"/>
      <w:bookmarkStart w:id="138" w:name="_Toc31513"/>
      <w:r>
        <w:rPr>
          <w:rFonts w:hint="eastAsia" w:ascii="黑体" w:hAnsi="黑体" w:eastAsia="黑体"/>
          <w:bCs/>
          <w:kern w:val="0"/>
          <w:sz w:val="32"/>
          <w:szCs w:val="28"/>
        </w:rPr>
        <w:t>二、访谈内容</w:t>
      </w:r>
      <w:bookmarkEnd w:id="135"/>
      <w:bookmarkEnd w:id="136"/>
      <w:bookmarkEnd w:id="137"/>
      <w:bookmarkEnd w:id="138"/>
    </w:p>
    <w:p>
      <w:pPr>
        <w:widowControl/>
        <w:overflowPunct w:val="0"/>
        <w:autoSpaceDE w:val="0"/>
        <w:autoSpaceDN w:val="0"/>
        <w:adjustRightInd w:val="0"/>
        <w:spacing w:line="580" w:lineRule="exact"/>
        <w:ind w:firstLine="640" w:firstLineChars="200"/>
        <w:textAlignment w:val="baseline"/>
        <w:rPr>
          <w:rFonts w:ascii="仿宋_GB2312" w:hAnsi="Times New Roman" w:eastAsia="仿宋_GB2312"/>
          <w:kern w:val="0"/>
          <w:sz w:val="32"/>
          <w:szCs w:val="32"/>
        </w:rPr>
      </w:pPr>
      <w:bookmarkStart w:id="139" w:name="_Toc9172"/>
      <w:r>
        <w:rPr>
          <w:rFonts w:hint="eastAsia" w:ascii="仿宋_GB2312" w:hAnsi="仿宋" w:eastAsia="仿宋_GB2312" w:cs="仿宋"/>
          <w:kern w:val="0"/>
          <w:sz w:val="32"/>
          <w:szCs w:val="32"/>
        </w:rPr>
        <w:t xml:space="preserve"> 对于项目的预算申请编报、审批和拨付流程；作为项目预算单位，为确保达到资金的合理支出都做了哪些监督和约束工作；项目实施过程中出现的问题或难点，以及下一步的工作规划。</w:t>
      </w:r>
    </w:p>
    <w:bookmarkEnd w:id="139"/>
    <w:p>
      <w:pPr>
        <w:widowControl/>
        <w:overflowPunct w:val="0"/>
        <w:autoSpaceDE w:val="0"/>
        <w:autoSpaceDN w:val="0"/>
        <w:adjustRightInd w:val="0"/>
        <w:spacing w:line="580" w:lineRule="exact"/>
        <w:ind w:firstLine="640" w:firstLineChars="200"/>
        <w:textAlignment w:val="baseline"/>
        <w:rPr>
          <w:rFonts w:ascii="黑体" w:hAnsi="黑体" w:eastAsia="黑体"/>
          <w:bCs/>
          <w:kern w:val="0"/>
          <w:sz w:val="32"/>
          <w:szCs w:val="28"/>
        </w:rPr>
      </w:pPr>
      <w:bookmarkStart w:id="140" w:name="_Toc22357"/>
      <w:bookmarkStart w:id="141" w:name="_Toc14274"/>
      <w:bookmarkStart w:id="142" w:name="_Toc3851"/>
      <w:r>
        <w:rPr>
          <w:rFonts w:hint="eastAsia" w:ascii="黑体" w:hAnsi="黑体" w:eastAsia="黑体"/>
          <w:bCs/>
          <w:kern w:val="0"/>
          <w:sz w:val="32"/>
          <w:szCs w:val="28"/>
        </w:rPr>
        <w:t>三、访谈类型与访谈方式</w:t>
      </w:r>
      <w:bookmarkEnd w:id="140"/>
      <w:bookmarkEnd w:id="141"/>
      <w:bookmarkEnd w:id="142"/>
    </w:p>
    <w:p>
      <w:pPr>
        <w:spacing w:line="500" w:lineRule="exact"/>
        <w:ind w:firstLine="643" w:firstLineChars="200"/>
        <w:rPr>
          <w:rFonts w:ascii="楷体" w:hAnsi="楷体" w:eastAsia="楷体" w:cs="楷体"/>
          <w:b/>
          <w:sz w:val="32"/>
          <w:szCs w:val="32"/>
        </w:rPr>
      </w:pPr>
      <w:bookmarkStart w:id="143" w:name="_Toc27209"/>
      <w:bookmarkStart w:id="144" w:name="_Toc456"/>
      <w:bookmarkStart w:id="145" w:name="_Toc298037431"/>
      <w:bookmarkStart w:id="146" w:name="_Toc298714055"/>
      <w:r>
        <w:rPr>
          <w:rFonts w:hint="eastAsia" w:ascii="楷体" w:hAnsi="楷体" w:eastAsia="楷体" w:cs="楷体"/>
          <w:b/>
          <w:sz w:val="32"/>
          <w:szCs w:val="32"/>
        </w:rPr>
        <w:t>（一）访谈方式</w:t>
      </w:r>
      <w:bookmarkEnd w:id="143"/>
      <w:bookmarkEnd w:id="144"/>
    </w:p>
    <w:bookmarkEnd w:id="145"/>
    <w:bookmarkEnd w:id="146"/>
    <w:p>
      <w:pPr>
        <w:widowControl/>
        <w:overflowPunct w:val="0"/>
        <w:autoSpaceDE w:val="0"/>
        <w:autoSpaceDN w:val="0"/>
        <w:adjustRightInd w:val="0"/>
        <w:spacing w:line="580" w:lineRule="exact"/>
        <w:ind w:firstLine="640" w:firstLineChars="200"/>
        <w:textAlignment w:val="baseline"/>
        <w:rPr>
          <w:rFonts w:ascii="仿宋_GB2312" w:hAnsi="Times New Roman" w:eastAsia="仿宋_GB2312"/>
          <w:kern w:val="0"/>
          <w:sz w:val="32"/>
          <w:szCs w:val="32"/>
        </w:rPr>
      </w:pPr>
      <w:r>
        <w:rPr>
          <w:rFonts w:hint="eastAsia" w:ascii="仿宋_GB2312" w:hAnsi="仿宋" w:eastAsia="仿宋_GB2312" w:cs="仿宋"/>
          <w:kern w:val="0"/>
          <w:sz w:val="32"/>
          <w:szCs w:val="32"/>
        </w:rPr>
        <w:t>对于项目主管单位的相关负责人采用电话访谈的模式。</w:t>
      </w:r>
    </w:p>
    <w:p>
      <w:pPr>
        <w:spacing w:line="500" w:lineRule="exact"/>
        <w:ind w:firstLine="643" w:firstLineChars="200"/>
        <w:rPr>
          <w:rFonts w:ascii="楷体" w:hAnsi="楷体" w:eastAsia="楷体" w:cs="楷体"/>
          <w:b/>
          <w:sz w:val="32"/>
          <w:szCs w:val="32"/>
        </w:rPr>
      </w:pPr>
      <w:bookmarkStart w:id="147" w:name="_Toc32741"/>
      <w:bookmarkStart w:id="148" w:name="_Toc11370"/>
      <w:bookmarkStart w:id="149" w:name="_Toc289768587"/>
      <w:bookmarkStart w:id="150" w:name="_Toc298037433"/>
      <w:bookmarkStart w:id="151" w:name="_Toc298714057"/>
      <w:r>
        <w:rPr>
          <w:rFonts w:hint="eastAsia" w:ascii="楷体" w:hAnsi="楷体" w:eastAsia="楷体" w:cs="楷体"/>
          <w:b/>
          <w:sz w:val="32"/>
          <w:szCs w:val="32"/>
        </w:rPr>
        <w:t>（二）访谈实施方式</w:t>
      </w:r>
      <w:bookmarkEnd w:id="147"/>
      <w:bookmarkEnd w:id="148"/>
    </w:p>
    <w:bookmarkEnd w:id="149"/>
    <w:bookmarkEnd w:id="150"/>
    <w:bookmarkEnd w:id="151"/>
    <w:p>
      <w:pPr>
        <w:spacing w:line="560" w:lineRule="exact"/>
        <w:ind w:firstLine="640" w:firstLineChars="200"/>
        <w:rPr>
          <w:rFonts w:ascii="仿宋_GB2312" w:hAnsi="仿宋" w:eastAsia="仿宋_GB2312" w:cs="仿宋"/>
          <w:kern w:val="0"/>
          <w:sz w:val="32"/>
          <w:szCs w:val="32"/>
        </w:rPr>
      </w:pPr>
      <w:r>
        <w:rPr>
          <w:rFonts w:ascii="仿宋_GB2312" w:hAnsi="仿宋" w:eastAsia="仿宋_GB2312" w:cs="仿宋"/>
          <w:kern w:val="0"/>
          <w:sz w:val="32"/>
          <w:szCs w:val="32"/>
        </w:rPr>
        <w:t>1</w:t>
      </w:r>
      <w:r>
        <w:rPr>
          <w:rFonts w:hint="eastAsia" w:ascii="仿宋_GB2312" w:hAnsi="仿宋" w:eastAsia="仿宋_GB2312" w:cs="仿宋"/>
          <w:kern w:val="0"/>
          <w:sz w:val="32"/>
          <w:szCs w:val="32"/>
        </w:rPr>
        <w:t>.对于所有访谈对象，将于访谈前至少1天进行预约。</w:t>
      </w:r>
    </w:p>
    <w:p>
      <w:pPr>
        <w:spacing w:line="560" w:lineRule="exact"/>
        <w:ind w:firstLine="640" w:firstLineChars="200"/>
        <w:rPr>
          <w:rFonts w:ascii="仿宋_GB2312" w:hAnsi="Times New Roman" w:eastAsia="仿宋_GB2312"/>
          <w:kern w:val="0"/>
          <w:sz w:val="32"/>
          <w:szCs w:val="32"/>
        </w:rPr>
      </w:pPr>
      <w:r>
        <w:rPr>
          <w:rFonts w:ascii="仿宋_GB2312" w:hAnsi="仿宋" w:eastAsia="仿宋_GB2312" w:cs="仿宋"/>
          <w:kern w:val="0"/>
          <w:sz w:val="32"/>
          <w:szCs w:val="32"/>
        </w:rPr>
        <w:t>2</w:t>
      </w:r>
      <w:r>
        <w:rPr>
          <w:rFonts w:hint="eastAsia" w:ascii="仿宋_GB2312" w:hAnsi="仿宋" w:eastAsia="仿宋_GB2312" w:cs="仿宋"/>
          <w:kern w:val="0"/>
          <w:sz w:val="32"/>
          <w:szCs w:val="32"/>
        </w:rPr>
        <w:t>.访谈正式开展前，将访谈提纲发给访谈对象。</w:t>
      </w:r>
    </w:p>
    <w:p>
      <w:pPr>
        <w:widowControl/>
        <w:overflowPunct w:val="0"/>
        <w:autoSpaceDE w:val="0"/>
        <w:autoSpaceDN w:val="0"/>
        <w:adjustRightInd w:val="0"/>
        <w:spacing w:line="560" w:lineRule="exact"/>
        <w:ind w:firstLine="640" w:firstLineChars="200"/>
        <w:textAlignment w:val="baseline"/>
        <w:rPr>
          <w:rFonts w:ascii="Times New Roman" w:hAnsi="Times New Roman" w:eastAsia="仿宋_GB2312"/>
          <w:bCs/>
          <w:kern w:val="0"/>
          <w:sz w:val="32"/>
          <w:szCs w:val="32"/>
        </w:rPr>
      </w:pPr>
      <w:bookmarkStart w:id="152" w:name="_Toc651"/>
      <w:bookmarkStart w:id="153" w:name="_Toc514"/>
      <w:bookmarkStart w:id="154" w:name="_Toc15254"/>
      <w:r>
        <w:rPr>
          <w:rFonts w:hint="eastAsia" w:ascii="黑体" w:hAnsi="黑体" w:eastAsia="黑体"/>
          <w:bCs/>
          <w:kern w:val="0"/>
          <w:sz w:val="32"/>
          <w:szCs w:val="28"/>
        </w:rPr>
        <w:t>三、访谈分析</w:t>
      </w:r>
      <w:bookmarkEnd w:id="152"/>
      <w:bookmarkEnd w:id="153"/>
      <w:bookmarkEnd w:id="154"/>
    </w:p>
    <w:p>
      <w:pPr>
        <w:adjustRightInd w:val="0"/>
        <w:snapToGrid w:val="0"/>
        <w:spacing w:line="540" w:lineRule="exact"/>
        <w:ind w:firstLine="640"/>
        <w:rPr>
          <w:rFonts w:ascii="仿宋_GB2312" w:hAnsi="宋体" w:eastAsia="仿宋_GB2312" w:cs="仿宋_GB2312"/>
          <w:b/>
          <w:bCs/>
          <w:color w:val="000000"/>
          <w:sz w:val="32"/>
          <w:szCs w:val="32"/>
          <w:shd w:val="clear" w:color="auto" w:fill="FFFFFF"/>
        </w:rPr>
      </w:pPr>
      <w:r>
        <w:rPr>
          <w:rFonts w:hint="eastAsia" w:ascii="仿宋_GB2312" w:hAnsi="宋体" w:eastAsia="仿宋_GB2312" w:cs="仿宋_GB2312"/>
          <w:b/>
          <w:bCs/>
          <w:color w:val="000000"/>
          <w:sz w:val="32"/>
          <w:szCs w:val="32"/>
          <w:shd w:val="clear" w:color="auto" w:fill="FFFFFF"/>
        </w:rPr>
        <w:t>（1）项目立项时间与背景</w:t>
      </w:r>
    </w:p>
    <w:p>
      <w:pPr>
        <w:adjustRightInd w:val="0"/>
        <w:snapToGrid w:val="0"/>
        <w:spacing w:line="54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吐鲁番市“十四五”综合交通运输发展规划》是《吐鲁番市“十四五”国民经济和社会发展规划和2035年目标纲要》的重要组成部分，是进入新时代、开启全面建设社会主义现代化国家新征程的五年规划，是全面推进交通强国建设的第一个五年规划，是推动交通运输高质量发展的五年规划，是贯彻落实中央完善规划体系、加强规划衔接要求的五年规划。科学制定吐鲁番市“十四五”综合交通运输发展规划，对落实交通强国战略，加快完善安全、便捷、高效、绿色、经济的现代综合交通运输体系，推进吐鲁番市交通建设的可持续和高质量发展，服务区域经济社会发展具有重要意义。</w:t>
      </w:r>
    </w:p>
    <w:p>
      <w:pPr>
        <w:adjustRightInd w:val="0"/>
        <w:snapToGrid w:val="0"/>
        <w:spacing w:line="540" w:lineRule="exact"/>
        <w:ind w:firstLine="640"/>
        <w:rPr>
          <w:rFonts w:ascii="仿宋_GB2312" w:hAnsi="宋体" w:eastAsia="仿宋_GB2312" w:cs="宋体"/>
          <w:sz w:val="32"/>
          <w:szCs w:val="32"/>
        </w:rPr>
      </w:pPr>
      <w:r>
        <w:rPr>
          <w:rFonts w:hint="eastAsia" w:ascii="仿宋_GB2312" w:hAnsi="宋体" w:eastAsia="仿宋_GB2312" w:cs="宋体"/>
          <w:sz w:val="32"/>
          <w:szCs w:val="32"/>
        </w:rPr>
        <w:t>2020年5月按照市委、市政府关于“十四五”规划编制工作的部署要求，我局负责组织开展《吐鲁番市“十四五”综合交通运输发展规划》编制工作。</w:t>
      </w:r>
    </w:p>
    <w:p>
      <w:pPr>
        <w:adjustRightInd w:val="0"/>
        <w:snapToGrid w:val="0"/>
        <w:spacing w:line="540" w:lineRule="exact"/>
        <w:ind w:firstLine="640"/>
        <w:rPr>
          <w:rFonts w:ascii="仿宋_GB2312" w:hAnsi="宋体" w:eastAsia="仿宋_GB2312" w:cs="宋体"/>
          <w:sz w:val="32"/>
          <w:szCs w:val="32"/>
        </w:rPr>
      </w:pPr>
      <w:r>
        <w:rPr>
          <w:rFonts w:hint="eastAsia" w:ascii="仿宋_GB2312" w:hAnsi="宋体" w:eastAsia="仿宋_GB2312" w:cs="宋体"/>
          <w:sz w:val="32"/>
          <w:szCs w:val="32"/>
        </w:rPr>
        <w:t>2021年2月规划编制工作正式启动。我局高度重视，为高质量编制《吐鲁番市“十四五”综合交通运输发展规划》，根据市委、市政府的相关工作要求，结合以往五年规划编制工作的做法和经验，选好配好工作专班，落实经费和后勤保障，选择具有丰富经验及业绩优秀的专业咨询机构并由资深专家学者组成的专业团队进行规划编制和提供咨询服务支持。</w:t>
      </w:r>
    </w:p>
    <w:p>
      <w:pPr>
        <w:adjustRightInd w:val="0"/>
        <w:snapToGrid w:val="0"/>
        <w:spacing w:line="540" w:lineRule="exact"/>
        <w:ind w:firstLine="640"/>
        <w:rPr>
          <w:rFonts w:ascii="仿宋_GB2312" w:hAnsi="宋体" w:eastAsia="仿宋_GB2312" w:cs="宋体"/>
          <w:sz w:val="32"/>
          <w:szCs w:val="32"/>
        </w:rPr>
      </w:pPr>
      <w:r>
        <w:rPr>
          <w:rFonts w:hint="eastAsia" w:ascii="仿宋_GB2312" w:hAnsi="宋体" w:eastAsia="仿宋_GB2312" w:cs="宋体"/>
          <w:sz w:val="32"/>
          <w:szCs w:val="32"/>
        </w:rPr>
        <w:t>经综合比选，2021年2月我局委托北京华协交通咨询公司负责编制《吐鲁番市“十四五”综合交通运输发展规划》，合同金额120万元。北京华协交通咨询公司具有甲级资信，是国家发展改革委指定承担规划和投资项目评估咨询任务的机构，具有较高的专业水平和丰富的经验。规划编制费用120万元纳入2021年市本级财政预算，实际支出金额120万元。2021年分两次付款支付，第一次按80%（96万元），第二次支付20%（24万元）。</w:t>
      </w:r>
    </w:p>
    <w:p>
      <w:pPr>
        <w:adjustRightInd w:val="0"/>
        <w:snapToGrid w:val="0"/>
        <w:spacing w:line="540" w:lineRule="exact"/>
        <w:ind w:firstLine="643" w:firstLineChars="200"/>
        <w:rPr>
          <w:rFonts w:ascii="仿宋_GB2312" w:hAnsi="宋体" w:eastAsia="仿宋_GB2312" w:cs="仿宋_GB2312"/>
          <w:b/>
          <w:bCs/>
          <w:color w:val="000000"/>
          <w:sz w:val="32"/>
          <w:szCs w:val="32"/>
          <w:shd w:val="clear" w:color="auto" w:fill="FFFFFF"/>
        </w:rPr>
      </w:pPr>
      <w:r>
        <w:rPr>
          <w:rFonts w:hint="eastAsia" w:ascii="仿宋_GB2312" w:hAnsi="宋体" w:eastAsia="仿宋_GB2312" w:cs="仿宋_GB2312"/>
          <w:b/>
          <w:bCs/>
          <w:color w:val="000000"/>
          <w:sz w:val="32"/>
          <w:szCs w:val="32"/>
          <w:shd w:val="clear" w:color="auto" w:fill="FFFFFF"/>
        </w:rPr>
        <w:t>（2）项目立项的目标</w:t>
      </w:r>
    </w:p>
    <w:p>
      <w:pPr>
        <w:adjustRightInd w:val="0"/>
        <w:snapToGrid w:val="0"/>
        <w:spacing w:line="540" w:lineRule="exact"/>
        <w:ind w:firstLine="64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总体目标：2021年3月-12月，</w:t>
      </w:r>
      <w:r>
        <w:rPr>
          <w:rFonts w:hint="eastAsia" w:ascii="仿宋_GB2312" w:hAnsi="宋体" w:eastAsia="仿宋_GB2312" w:cs="宋体"/>
          <w:sz w:val="32"/>
          <w:szCs w:val="32"/>
        </w:rPr>
        <w:t>北京华协交通咨询公司按约定时间和要求向我局提交“</w:t>
      </w:r>
      <w:r>
        <w:rPr>
          <w:rFonts w:hint="eastAsia" w:ascii="仿宋_GB2312" w:hAnsi="宋体" w:eastAsia="仿宋_GB2312" w:cs="仿宋_GB2312"/>
          <w:color w:val="000000"/>
          <w:sz w:val="32"/>
          <w:szCs w:val="32"/>
          <w:shd w:val="clear" w:color="auto" w:fill="FFFFFF"/>
        </w:rPr>
        <w:t>吐鲁番市“十四五”综合交通运输发展规划研究</w:t>
      </w:r>
      <w:r>
        <w:rPr>
          <w:rFonts w:hint="eastAsia" w:ascii="仿宋_GB2312" w:hAnsi="宋体" w:eastAsia="仿宋_GB2312" w:cs="宋体"/>
          <w:sz w:val="32"/>
          <w:szCs w:val="32"/>
        </w:rPr>
        <w:t>”及规划文本和电子文件。</w:t>
      </w:r>
    </w:p>
    <w:p>
      <w:pPr>
        <w:adjustRightInd w:val="0"/>
        <w:snapToGrid w:val="0"/>
        <w:spacing w:line="540" w:lineRule="exact"/>
        <w:ind w:firstLine="640"/>
        <w:rPr>
          <w:rFonts w:ascii="仿宋_GB2312" w:hAnsi="宋体" w:eastAsia="仿宋_GB2312" w:cs="宋体"/>
          <w:sz w:val="32"/>
          <w:szCs w:val="32"/>
        </w:rPr>
      </w:pPr>
      <w:r>
        <w:rPr>
          <w:rFonts w:hint="eastAsia" w:ascii="仿宋_GB2312" w:hAnsi="宋体" w:eastAsia="仿宋_GB2312" w:cs="仿宋_GB2312"/>
          <w:color w:val="000000"/>
          <w:sz w:val="32"/>
          <w:szCs w:val="32"/>
          <w:shd w:val="clear" w:color="auto" w:fill="FFFFFF"/>
        </w:rPr>
        <w:t>阶段性目标：</w:t>
      </w:r>
      <w:r>
        <w:rPr>
          <w:rFonts w:hint="eastAsia" w:ascii="仿宋_GB2312" w:hAnsi="宋体" w:eastAsia="仿宋_GB2312" w:cs="宋体"/>
          <w:sz w:val="32"/>
          <w:szCs w:val="32"/>
        </w:rPr>
        <w:t>北京华协交通咨询公司提交研究报告初稿后，我局付北京华协交通咨询公司咨询服务费80%，即96万元。北京华协交通咨询公司提交报告终稿后，我局付北京华协交通咨询公司咨询服务费20%，即24万元。</w:t>
      </w:r>
    </w:p>
    <w:p>
      <w:pPr>
        <w:adjustRightInd w:val="0"/>
        <w:snapToGrid w:val="0"/>
        <w:spacing w:line="540" w:lineRule="exact"/>
        <w:ind w:firstLine="640"/>
        <w:rPr>
          <w:rFonts w:ascii="仿宋_GB2312" w:hAnsi="宋体" w:eastAsia="仿宋_GB2312" w:cs="宋体"/>
          <w:sz w:val="32"/>
          <w:szCs w:val="32"/>
        </w:rPr>
      </w:pPr>
      <w:r>
        <w:rPr>
          <w:rFonts w:hint="eastAsia" w:ascii="仿宋_GB2312" w:hAnsi="宋体" w:eastAsia="仿宋_GB2312" w:cs="宋体"/>
          <w:sz w:val="32"/>
          <w:szCs w:val="32"/>
        </w:rPr>
        <w:t>规划中重点研究论证以下问题：</w:t>
      </w:r>
    </w:p>
    <w:p>
      <w:pPr>
        <w:adjustRightInd w:val="0"/>
        <w:snapToGrid w:val="0"/>
        <w:spacing w:line="540" w:lineRule="exact"/>
        <w:ind w:firstLine="640"/>
        <w:rPr>
          <w:rFonts w:ascii="仿宋_GB2312" w:hAnsi="宋体" w:eastAsia="仿宋_GB2312" w:cs="宋体"/>
          <w:sz w:val="32"/>
          <w:szCs w:val="32"/>
        </w:rPr>
      </w:pPr>
      <w:r>
        <w:rPr>
          <w:rFonts w:hint="eastAsia" w:ascii="仿宋_GB2312" w:hAnsi="宋体" w:eastAsia="仿宋_GB2312" w:cs="宋体"/>
          <w:sz w:val="32"/>
          <w:szCs w:val="32"/>
        </w:rPr>
        <w:t>全面总结“十三五”时期吐鲁番市综合运输发展取得的成绩，全面分析全市综合交通发展现状、存在的问题；</w:t>
      </w:r>
    </w:p>
    <w:p>
      <w:pPr>
        <w:adjustRightInd w:val="0"/>
        <w:snapToGrid w:val="0"/>
        <w:spacing w:line="540" w:lineRule="exact"/>
        <w:ind w:firstLine="640"/>
        <w:rPr>
          <w:rFonts w:ascii="仿宋_GB2312" w:hAnsi="宋体" w:eastAsia="仿宋_GB2312" w:cs="宋体"/>
          <w:sz w:val="32"/>
          <w:szCs w:val="32"/>
        </w:rPr>
      </w:pPr>
      <w:r>
        <w:rPr>
          <w:rFonts w:hint="eastAsia" w:ascii="仿宋_GB2312" w:hAnsi="宋体" w:eastAsia="仿宋_GB2312" w:cs="宋体"/>
          <w:sz w:val="32"/>
          <w:szCs w:val="32"/>
        </w:rPr>
        <w:t>分析研判吐鲁番市“十四五”时期交通发展面临的形势和任务，预测“十四五”时期交通运输需求；</w:t>
      </w:r>
    </w:p>
    <w:p>
      <w:pPr>
        <w:adjustRightInd w:val="0"/>
        <w:snapToGrid w:val="0"/>
        <w:spacing w:line="540" w:lineRule="exact"/>
        <w:ind w:firstLine="640"/>
        <w:rPr>
          <w:rFonts w:ascii="仿宋_GB2312" w:hAnsi="宋体" w:eastAsia="仿宋_GB2312" w:cs="宋体"/>
          <w:sz w:val="32"/>
          <w:szCs w:val="32"/>
        </w:rPr>
      </w:pPr>
      <w:r>
        <w:rPr>
          <w:rFonts w:hint="eastAsia" w:ascii="仿宋_GB2312" w:hAnsi="宋体" w:eastAsia="仿宋_GB2312" w:cs="宋体"/>
          <w:sz w:val="32"/>
          <w:szCs w:val="32"/>
        </w:rPr>
        <w:t>研究论证吐鲁番市“十四五”时期综合交通运输指导思想、发展思路、发展原则、发展方向，提出具有指导性和前瞻性的发展目标；</w:t>
      </w:r>
    </w:p>
    <w:p>
      <w:pPr>
        <w:adjustRightInd w:val="0"/>
        <w:snapToGrid w:val="0"/>
        <w:spacing w:line="540" w:lineRule="exact"/>
        <w:ind w:firstLine="640"/>
        <w:rPr>
          <w:rFonts w:ascii="仿宋_GB2312" w:hAnsi="宋体" w:eastAsia="仿宋_GB2312" w:cs="宋体"/>
          <w:sz w:val="32"/>
          <w:szCs w:val="32"/>
        </w:rPr>
      </w:pPr>
      <w:r>
        <w:rPr>
          <w:rFonts w:hint="eastAsia" w:ascii="仿宋_GB2312" w:hAnsi="宋体" w:eastAsia="仿宋_GB2312" w:cs="宋体"/>
          <w:sz w:val="32"/>
          <w:szCs w:val="32"/>
        </w:rPr>
        <w:t>对“十四五”全市交通基础设施（公路、铁路、民航、邮政、管道）、运输服务、绿色、智慧、安全等方面进行规划研究，提出“十四五”吐鲁番市综合交通重点任务、建设项目、资金匡算等，并研究保障规划实施的政策措施。</w:t>
      </w:r>
    </w:p>
    <w:p>
      <w:pPr>
        <w:numPr>
          <w:ilvl w:val="0"/>
          <w:numId w:val="2"/>
        </w:numPr>
        <w:adjustRightInd w:val="0"/>
        <w:snapToGrid w:val="0"/>
        <w:spacing w:line="540" w:lineRule="exact"/>
        <w:ind w:firstLine="640"/>
        <w:rPr>
          <w:rFonts w:ascii="仿宋_GB2312" w:hAnsi="宋体" w:eastAsia="仿宋_GB2312" w:cs="仿宋_GB2312"/>
          <w:b/>
          <w:bCs/>
          <w:color w:val="000000"/>
          <w:sz w:val="32"/>
          <w:szCs w:val="32"/>
          <w:shd w:val="clear" w:color="auto" w:fill="FFFFFF"/>
        </w:rPr>
      </w:pPr>
      <w:r>
        <w:rPr>
          <w:rFonts w:hint="eastAsia" w:ascii="仿宋_GB2312" w:hAnsi="宋体" w:eastAsia="仿宋_GB2312" w:cs="仿宋_GB2312"/>
          <w:b/>
          <w:bCs/>
          <w:color w:val="000000"/>
          <w:sz w:val="32"/>
          <w:szCs w:val="32"/>
          <w:shd w:val="clear" w:color="auto" w:fill="FFFFFF"/>
        </w:rPr>
        <w:t>该项目取得的成绩与经验做法</w:t>
      </w:r>
    </w:p>
    <w:p>
      <w:pPr>
        <w:adjustRightInd w:val="0"/>
        <w:snapToGrid w:val="0"/>
        <w:spacing w:line="540" w:lineRule="exact"/>
        <w:ind w:firstLine="643" w:firstLineChars="200"/>
        <w:rPr>
          <w:rFonts w:ascii="仿宋_GB2312" w:hAnsi="宋体" w:eastAsia="仿宋_GB2312" w:cs="仿宋_GB2312"/>
          <w:b/>
          <w:bCs/>
          <w:color w:val="000000"/>
          <w:sz w:val="32"/>
          <w:szCs w:val="32"/>
          <w:shd w:val="clear" w:color="auto" w:fill="FFFFFF"/>
        </w:rPr>
      </w:pPr>
      <w:r>
        <w:rPr>
          <w:rFonts w:hint="eastAsia" w:ascii="仿宋_GB2312" w:hAnsi="宋体" w:eastAsia="仿宋_GB2312" w:cs="仿宋_GB2312"/>
          <w:b/>
          <w:bCs/>
          <w:color w:val="000000"/>
          <w:sz w:val="32"/>
          <w:szCs w:val="32"/>
          <w:shd w:val="clear" w:color="auto" w:fill="FFFFFF"/>
        </w:rPr>
        <w:t xml:space="preserve"> </w:t>
      </w:r>
      <w:r>
        <w:rPr>
          <w:rFonts w:hint="eastAsia" w:ascii="仿宋_GB2312" w:hAnsi="宋体" w:eastAsia="仿宋_GB2312" w:cs="仿宋_GB2312"/>
          <w:color w:val="000000"/>
          <w:sz w:val="32"/>
          <w:szCs w:val="32"/>
          <w:shd w:val="clear" w:color="auto" w:fill="FFFFFF"/>
        </w:rPr>
        <w:t>一是旗帜鲜明讲政治，将习近平总书记的重要指示、讲话精神贯穿其中，全面贯彻新时代党的治疆方略，牢牢扭住新疆工作总目标，全面落实中央、自治区、市委市政府重大部署，确保规划把握住“十四五”及未来一段时期交通运输重要发展方向。</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宋体"/>
          <w:sz w:val="32"/>
          <w:szCs w:val="32"/>
        </w:rPr>
        <w:t>二是市委、市政府主要领导高度重视</w:t>
      </w:r>
      <w:r>
        <w:rPr>
          <w:rFonts w:hint="eastAsia" w:ascii="仿宋_GB2312" w:hAnsi="宋体" w:eastAsia="仿宋_GB2312" w:cs="仿宋_GB2312"/>
          <w:color w:val="000000"/>
          <w:sz w:val="32"/>
          <w:szCs w:val="32"/>
          <w:shd w:val="clear" w:color="auto" w:fill="FFFFFF"/>
        </w:rPr>
        <w:t>《吐鲁番市“十四五”综合交通运输发展规划》的编制，多次听取汇报，召开专题会议研究讨论，并亲自把关，全程指导，使规划工作具有较高的站位，符合我市经济社会发展总体形势要求，具有较强的指导性。</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三是市直、区县相关部门积极支持、通力协作、全力配合，规划编制过程中多次组织召开市直、区县部门座谈会，广泛听取市直、区县部门意见，汇集全市、区县各部门的智慧。确保了规划编制工作的高质量、高效率，同时具有较高的可实施性。</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四是全面融入了国家相关规划、</w:t>
      </w:r>
      <w:r>
        <w:rPr>
          <w:rFonts w:hint="eastAsia" w:ascii="仿宋_GB2312" w:eastAsia="仿宋_GB2312"/>
          <w:sz w:val="32"/>
          <w:szCs w:val="32"/>
        </w:rPr>
        <w:t>《新疆维吾尔自治区交通运输（公路）“十四五”发展规划》、</w:t>
      </w:r>
      <w:r>
        <w:rPr>
          <w:rFonts w:hint="eastAsia" w:ascii="仿宋_GB2312" w:hAnsi="宋体" w:eastAsia="仿宋_GB2312" w:cs="仿宋_GB2312"/>
          <w:color w:val="000000"/>
          <w:sz w:val="32"/>
          <w:szCs w:val="32"/>
          <w:shd w:val="clear" w:color="auto" w:fill="FFFFFF"/>
        </w:rPr>
        <w:t>《吐鲁番市“十四五”国民经济和社会发展规划和2035年目标纲要》有关精神及其他相关专项规划精神，做到规划的有效衔接、有机统一。</w:t>
      </w:r>
    </w:p>
    <w:p>
      <w:pPr>
        <w:adjustRightInd w:val="0"/>
        <w:snapToGrid w:val="0"/>
        <w:spacing w:line="540" w:lineRule="exact"/>
        <w:ind w:firstLine="667" w:firstLineChars="200"/>
        <w:rPr>
          <w:rFonts w:ascii="楷体" w:hAnsi="楷体" w:eastAsia="楷体" w:cstheme="minorBidi"/>
          <w:b/>
          <w:bCs/>
          <w:spacing w:val="6"/>
          <w:sz w:val="32"/>
          <w:szCs w:val="32"/>
        </w:rPr>
      </w:pPr>
      <w:r>
        <w:rPr>
          <w:rFonts w:hint="eastAsia" w:ascii="楷体" w:hAnsi="楷体" w:eastAsia="楷体"/>
          <w:b/>
          <w:bCs/>
          <w:spacing w:val="6"/>
          <w:sz w:val="32"/>
          <w:szCs w:val="32"/>
        </w:rPr>
        <w:t>2、专项预算申请编报、审批和拨付流程</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1）项目编报预算以确定的研究任务为依据，申请专项经费。我局财务科编制项目预算申报，财务人员负责对国家相关财务制度、经费开支范围及标准进行把握，项目负责科室结合项目目标任务对所列支出的相关性、合理性进行把握。项目预算以任务目标为依据，项目预算符合项目任务的规律和特点，与工作任务相匹配。项目内各任务经费分配合理，符合项目任务的性质、工作量等特点，合理确定编制费用，并严格按照财政集中支付管理资金计划额度申请和使用资金，专款专用，专项核算。</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（2）项目专项预算的资金申请及拨付方式遵照市财政局相关规定执行。我局根据项目预算、项目进度向市财政局提出申请拨款，市财政局按照相关要求严格审核，按照规定程序拨付。</w:t>
      </w:r>
    </w:p>
    <w:p>
      <w:pPr>
        <w:adjustRightInd w:val="0"/>
        <w:snapToGrid w:val="0"/>
        <w:spacing w:line="540" w:lineRule="exact"/>
        <w:ind w:firstLine="667" w:firstLineChars="200"/>
        <w:rPr>
          <w:rFonts w:ascii="楷体" w:hAnsi="楷体" w:eastAsia="楷体" w:cstheme="minorBidi"/>
          <w:b/>
          <w:bCs/>
          <w:spacing w:val="6"/>
          <w:sz w:val="32"/>
          <w:szCs w:val="32"/>
        </w:rPr>
      </w:pPr>
      <w:r>
        <w:rPr>
          <w:rFonts w:hint="eastAsia" w:ascii="楷体" w:hAnsi="楷体" w:eastAsia="楷体"/>
          <w:b/>
          <w:bCs/>
          <w:spacing w:val="6"/>
          <w:sz w:val="32"/>
          <w:szCs w:val="32"/>
        </w:rPr>
        <w:t>3、项目实施过程</w:t>
      </w:r>
    </w:p>
    <w:p>
      <w:pPr>
        <w:adjustRightInd w:val="0"/>
        <w:snapToGrid w:val="0"/>
        <w:spacing w:line="540" w:lineRule="exact"/>
        <w:ind w:firstLine="640"/>
        <w:rPr>
          <w:rFonts w:ascii="仿宋_GB2312" w:hAnsi="宋体" w:eastAsia="仿宋_GB2312" w:cs="宋体"/>
          <w:sz w:val="32"/>
          <w:szCs w:val="32"/>
        </w:rPr>
      </w:pPr>
      <w:r>
        <w:rPr>
          <w:rFonts w:hint="eastAsia" w:ascii="仿宋_GB2312" w:hAnsi="宋体" w:eastAsia="仿宋_GB2312" w:cs="宋体"/>
          <w:sz w:val="32"/>
          <w:szCs w:val="32"/>
        </w:rPr>
        <w:t>（一）项目决策情况。2021年2月按照市委、市政府关于“十四五”规划编制工作的部署要求，我局负责组织开展《吐鲁番市“十四五”综合交通运输发展规划》编制工作。</w:t>
      </w:r>
    </w:p>
    <w:p>
      <w:pPr>
        <w:adjustRightInd w:val="0"/>
        <w:snapToGrid w:val="0"/>
        <w:spacing w:line="54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（二）项目过程情况。根据合同要求，坚持节约、压缩开展、保质保量，按时交付规划报告，验收合格。</w:t>
      </w:r>
    </w:p>
    <w:p>
      <w:pPr>
        <w:adjustRightInd w:val="0"/>
        <w:snapToGrid w:val="0"/>
        <w:spacing w:line="54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（三）项目产出情况。按时完成规划编制工作，按合同要求，第一阶段初稿已完成，支出96万元，第二阶段终稿已完成，支出24万元。完工率100%。</w:t>
      </w:r>
    </w:p>
    <w:p>
      <w:pPr>
        <w:adjustRightInd w:val="0"/>
        <w:snapToGrid w:val="0"/>
        <w:spacing w:line="54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 xml:space="preserve">（四）项目效益情况。保证拨入资金专款专用，《吐鲁番市“十四五”综合交通运输发展规划》文本终稿已完成。    </w:t>
      </w:r>
    </w:p>
    <w:p>
      <w:pPr>
        <w:adjustRightInd w:val="0"/>
        <w:snapToGrid w:val="0"/>
        <w:spacing w:line="54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具体实施情况如下：</w:t>
      </w:r>
    </w:p>
    <w:p>
      <w:pPr>
        <w:adjustRightInd w:val="0"/>
        <w:snapToGrid w:val="0"/>
        <w:spacing w:line="54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2021年2月，规划编制工作正式启动。制定了规划编制工作计划和工作大纲。</w:t>
      </w:r>
    </w:p>
    <w:p>
      <w:pPr>
        <w:adjustRightInd w:val="0"/>
        <w:snapToGrid w:val="0"/>
        <w:spacing w:line="54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3月底完成规划现场调研、座谈交流、收集初步资料。</w:t>
      </w:r>
    </w:p>
    <w:p>
      <w:pPr>
        <w:adjustRightInd w:val="0"/>
        <w:snapToGrid w:val="0"/>
        <w:spacing w:line="54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5月24日提交了《吐鲁番市“十四五”综合交通运输发展规划》（初稿）。并开始征求各单位建议意见。</w:t>
      </w:r>
    </w:p>
    <w:p>
      <w:pPr>
        <w:adjustRightInd w:val="0"/>
        <w:snapToGrid w:val="0"/>
        <w:spacing w:line="54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6月27日市人民政府通过腾讯视频会议形式在市政府会议室组织召开了《吐鲁番市“十四五”综合交通运输发展规划》专题研究会议，会上市政府主要领导及各相关单位对规划提出了修改意见，会后各相关单位也提交了书面意见。</w:t>
      </w:r>
    </w:p>
    <w:p>
      <w:pPr>
        <w:adjustRightInd w:val="0"/>
        <w:snapToGrid w:val="0"/>
        <w:spacing w:line="54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8月5日，规划编制单位根据与会领导及各相关单位反馈的修改意见进行修改。形成《吐鲁番市“十四五”发展规划（送审稿）》，8月6日再次征求意见。</w:t>
      </w:r>
    </w:p>
    <w:p>
      <w:pPr>
        <w:adjustRightInd w:val="0"/>
        <w:snapToGrid w:val="0"/>
        <w:spacing w:line="54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8月27日规划编制单位根据修改意见进行修改，提交《吐鲁番市“十四五”发展规划（送审稿）》。</w:t>
      </w:r>
    </w:p>
    <w:p>
      <w:pPr>
        <w:adjustRightInd w:val="0"/>
        <w:snapToGrid w:val="0"/>
        <w:spacing w:line="54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9月进行第三轮征求市直属相关部门、兵团第十二师二二一团对征求意见稿的意见，并根据国务院、并按照交通运输部和自治区的有关文件精神，结合一区两县对项目的调整要求，对报告做进一步补充完善，10月27日形成送审修改稿，11月9日再次修改形成终稿。</w:t>
      </w:r>
    </w:p>
    <w:p>
      <w:pPr>
        <w:adjustRightInd w:val="0"/>
        <w:snapToGrid w:val="0"/>
        <w:spacing w:line="54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由于国家、自治区政策变化和项目调整，2022年对规划再次进行修改完善并征求意见。根据第四轮征求市直相关部门、兵团和“一区两县”的意见（02-21版本）、市交通运输局的意见建议（0328）以及修改过程中市交通局提出的其他相关修改意见进行修改，2022年5月23日形成最终稿。拟提交市政府审议。</w:t>
      </w:r>
    </w:p>
    <w:p>
      <w:pPr>
        <w:adjustRightInd w:val="0"/>
        <w:snapToGrid w:val="0"/>
        <w:spacing w:line="540" w:lineRule="exact"/>
        <w:ind w:firstLine="667" w:firstLineChars="200"/>
        <w:rPr>
          <w:rFonts w:ascii="楷体" w:hAnsi="楷体" w:eastAsia="楷体" w:cstheme="minorBidi"/>
          <w:b/>
          <w:bCs/>
          <w:spacing w:val="6"/>
          <w:sz w:val="32"/>
          <w:szCs w:val="32"/>
        </w:rPr>
      </w:pPr>
      <w:r>
        <w:rPr>
          <w:rFonts w:hint="eastAsia" w:ascii="楷体" w:hAnsi="楷体" w:eastAsia="楷体"/>
          <w:b/>
          <w:bCs/>
          <w:spacing w:val="6"/>
          <w:sz w:val="32"/>
          <w:szCs w:val="32"/>
        </w:rPr>
        <w:t>4、项目经费合理支出的监督和约束工作</w:t>
      </w:r>
    </w:p>
    <w:p>
      <w:pPr>
        <w:adjustRightInd w:val="0"/>
        <w:snapToGrid w:val="0"/>
        <w:spacing w:line="540" w:lineRule="exact"/>
        <w:ind w:firstLine="640" w:firstLineChars="200"/>
        <w:rPr>
          <w:rFonts w:ascii="黑体" w:eastAsia="黑体"/>
          <w:spacing w:val="6"/>
          <w:sz w:val="28"/>
        </w:rPr>
      </w:pPr>
      <w:r>
        <w:rPr>
          <w:rFonts w:hint="eastAsia" w:ascii="仿宋_GB2312" w:hAnsi="宋体" w:eastAsia="仿宋_GB2312" w:cs="宋体"/>
          <w:sz w:val="32"/>
          <w:szCs w:val="32"/>
        </w:rPr>
        <w:t>严格项目资金拨付，努力提高项目资金使用管理的安全性、有效性格规范性。我局组织相关人员对规划报告完成情况进度、质量的要求、应准确、完整地表达方案意图和内容，规划成果报告、图片必须清晰完整进行了认真审查。严格按照项目实施进度申请拨付资金。并按规定完成项目绩效评价报告。</w:t>
      </w:r>
    </w:p>
    <w:p>
      <w:pPr>
        <w:adjustRightInd w:val="0"/>
        <w:snapToGrid w:val="0"/>
        <w:spacing w:line="540" w:lineRule="exact"/>
        <w:ind w:firstLine="667" w:firstLineChars="200"/>
        <w:rPr>
          <w:rFonts w:ascii="楷体" w:hAnsi="楷体" w:eastAsia="楷体"/>
          <w:b/>
          <w:bCs/>
          <w:spacing w:val="6"/>
          <w:sz w:val="32"/>
          <w:szCs w:val="32"/>
        </w:rPr>
      </w:pPr>
      <w:r>
        <w:rPr>
          <w:rFonts w:hint="eastAsia" w:ascii="楷体" w:hAnsi="楷体" w:eastAsia="楷体"/>
          <w:b/>
          <w:bCs/>
          <w:spacing w:val="6"/>
          <w:sz w:val="32"/>
          <w:szCs w:val="32"/>
        </w:rPr>
        <w:t>5、项目实施过程中的部门配合工作情况</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项目实施过程中市直、区县相关部门积极支持、全力配合，确保了规划编制工作的顺利开展。</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市直部门、区县相关部门全力配合、通力合作，区县人民政府、示范区管委会、新疆生产建设兵团第12师221团、市发改委、市自然资源局、市住房和城乡建设局、市文化体育和旅游局、市财政局、市生态环境局、市水利局、市农业农村局、市林草局、市应急管理局、市乡村振兴局、各区县交通运输局、吐鲁番公路管理局、市综合行政执法局、市邮政管理局、市航线办等单位在规划编制过程中提供了相关行业部门情况，并多次参与研讨、调研，对规划报告提出修改意见，确保交通运输规划与其他部门规划相互衔接，统筹协调。</w:t>
      </w:r>
    </w:p>
    <w:p>
      <w:pPr>
        <w:adjustRightInd w:val="0"/>
        <w:snapToGrid w:val="0"/>
        <w:spacing w:line="540" w:lineRule="exact"/>
        <w:ind w:firstLine="640" w:firstLineChars="200"/>
        <w:rPr>
          <w:rFonts w:ascii="黑体" w:eastAsia="黑体" w:hAnsiTheme="minorHAnsi" w:cstheme="minorBidi"/>
          <w:spacing w:val="6"/>
          <w:sz w:val="28"/>
          <w:szCs w:val="24"/>
        </w:rPr>
      </w:pPr>
      <w:r>
        <w:rPr>
          <w:rFonts w:hint="eastAsia" w:ascii="仿宋_GB2312" w:hAnsi="宋体" w:eastAsia="仿宋_GB2312" w:cs="仿宋_GB2312"/>
          <w:color w:val="000000"/>
          <w:sz w:val="32"/>
          <w:szCs w:val="32"/>
          <w:shd w:val="clear" w:color="auto" w:fill="FFFFFF"/>
        </w:rPr>
        <w:t>区县相关部门积极支持、全程参与，区县交通运输局在规划编制过程中提供了大量基础数据资料，并协助开展现场调研工作，参与项目研讨，确保规划符合区县实际，切实指导区县交通运输发展。</w:t>
      </w:r>
    </w:p>
    <w:p>
      <w:pPr>
        <w:adjustRightInd w:val="0"/>
        <w:snapToGrid w:val="0"/>
        <w:spacing w:line="540" w:lineRule="exact"/>
        <w:ind w:firstLine="667" w:firstLineChars="200"/>
        <w:rPr>
          <w:rFonts w:ascii="楷体" w:hAnsi="楷体" w:eastAsia="楷体"/>
          <w:b/>
          <w:bCs/>
          <w:spacing w:val="6"/>
          <w:sz w:val="32"/>
          <w:szCs w:val="32"/>
        </w:rPr>
      </w:pPr>
      <w:r>
        <w:rPr>
          <w:rFonts w:hint="eastAsia" w:ascii="楷体" w:hAnsi="楷体" w:eastAsia="楷体"/>
          <w:b/>
          <w:bCs/>
          <w:spacing w:val="6"/>
          <w:sz w:val="32"/>
          <w:szCs w:val="32"/>
        </w:rPr>
        <w:t>6、项目专项经费预期效果情况</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十四五”时期是我国由全面建成小康社会向基本实现社会主义现代化迈进的关键时期，科学编制和实施好“十四五”综合交通运输发展规划，对吐鲁番市在新的起点上全方位高质量发展，落实交通强国战略，加快推进“综合交通、智慧交通、绿色交通、平安交通”发展，着力构建市域内及与周边区域间互联互通、功能完备、快速便捷、绿色低碳、协调发展的综合交通运输体系，支撑和引领吐鲁番市国民经济和社会健康可持续发展具有重要意义。</w:t>
      </w:r>
    </w:p>
    <w:p>
      <w:pPr>
        <w:adjustRightInd w:val="0"/>
        <w:snapToGrid w:val="0"/>
        <w:spacing w:line="540" w:lineRule="exact"/>
        <w:ind w:firstLine="640" w:firstLineChars="200"/>
        <w:rPr>
          <w:rFonts w:ascii="黑体" w:eastAsia="黑体" w:hAnsiTheme="minorHAnsi" w:cstheme="minorBidi"/>
          <w:spacing w:val="6"/>
          <w:sz w:val="28"/>
          <w:szCs w:val="24"/>
        </w:rPr>
      </w:pPr>
      <w:r>
        <w:rPr>
          <w:rFonts w:hint="eastAsia" w:ascii="仿宋_GB2312" w:hAnsi="宋体" w:eastAsia="仿宋_GB2312" w:cs="仿宋_GB2312"/>
          <w:color w:val="000000"/>
          <w:sz w:val="32"/>
          <w:szCs w:val="32"/>
          <w:shd w:val="clear" w:color="auto" w:fill="FFFFFF"/>
        </w:rPr>
        <w:t>本项规划编制工作在市委市政府的正确领导下，在市直、区县相关部门的全力配合下，在编制单位的积极努力下，规划报告具有较高的质量，对我市“十四五”交通运输具有较强的指导意义，实现了立项的目标，取得了较好的效果。</w:t>
      </w:r>
    </w:p>
    <w:p>
      <w:pPr>
        <w:adjustRightInd w:val="0"/>
        <w:snapToGrid w:val="0"/>
        <w:spacing w:line="540" w:lineRule="exact"/>
        <w:ind w:firstLine="667" w:firstLineChars="200"/>
        <w:rPr>
          <w:rFonts w:ascii="楷体" w:hAnsi="楷体" w:eastAsia="楷体"/>
          <w:b/>
          <w:bCs/>
          <w:spacing w:val="6"/>
          <w:sz w:val="32"/>
          <w:szCs w:val="32"/>
        </w:rPr>
      </w:pPr>
      <w:r>
        <w:rPr>
          <w:rFonts w:hint="eastAsia" w:ascii="楷体" w:hAnsi="楷体" w:eastAsia="楷体"/>
          <w:b/>
          <w:bCs/>
          <w:spacing w:val="6"/>
          <w:sz w:val="32"/>
          <w:szCs w:val="32"/>
        </w:rPr>
        <w:t>7、项目实施过程中出现的问题和困难以及</w:t>
      </w:r>
      <w:bookmarkStart w:id="155" w:name="_Hlk113876116"/>
      <w:r>
        <w:rPr>
          <w:rFonts w:hint="eastAsia" w:ascii="楷体" w:hAnsi="楷体" w:eastAsia="楷体"/>
          <w:b/>
          <w:bCs/>
          <w:spacing w:val="6"/>
          <w:sz w:val="32"/>
          <w:szCs w:val="32"/>
        </w:rPr>
        <w:t>下一步工作规划</w:t>
      </w:r>
      <w:bookmarkEnd w:id="155"/>
    </w:p>
    <w:p>
      <w:pPr>
        <w:adjustRightInd w:val="0"/>
        <w:snapToGrid w:val="0"/>
        <w:spacing w:line="540" w:lineRule="exact"/>
        <w:ind w:firstLine="643" w:firstLineChars="200"/>
        <w:rPr>
          <w:rFonts w:ascii="仿宋_GB2312" w:hAnsi="宋体" w:eastAsia="仿宋_GB2312" w:cs="仿宋_GB2312"/>
          <w:b/>
          <w:bCs/>
          <w:color w:val="000000"/>
          <w:sz w:val="32"/>
          <w:szCs w:val="32"/>
          <w:shd w:val="clear" w:color="auto" w:fill="FFFFFF"/>
        </w:rPr>
      </w:pPr>
      <w:r>
        <w:rPr>
          <w:rFonts w:hint="eastAsia" w:ascii="仿宋_GB2312" w:hAnsi="宋体" w:eastAsia="仿宋_GB2312" w:cs="仿宋_GB2312"/>
          <w:b/>
          <w:bCs/>
          <w:color w:val="000000"/>
          <w:sz w:val="32"/>
          <w:szCs w:val="32"/>
          <w:shd w:val="clear" w:color="auto" w:fill="FFFFFF"/>
        </w:rPr>
        <w:t>（一）问题和困难</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一是建设资金短缺。资金是保障交通运输项目顺利建设的重要基础，吐鲁番市财政基础薄弱，如何保障在有限的资金限制条件下实现最大的效果，是规划未来实施面临的一个重要问题。多渠道、多方式筹集资金，将是促成规划实施落地的重要手段。</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二是协调铁路、民航相关规划。重大铁路、民航项目建设，主要依托国家及自治区相关规划，协调铁路、民航规划，服务我市经济社会发展，促进各种运输方式衔接配合存在一定难度。积极争取国家、自治区相关铁路、民航重大项目落地吐鲁番，做好相关配套交通衔接，是促进综合交通发展的重要方法。</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三是由于相关政策不断调整、健全完善中，因国家、自治区、市在规划编制过程中政策、编制内容不断有新的规定和要求，造成无法按照原计划完成规划编制报批工作。</w:t>
      </w:r>
    </w:p>
    <w:p>
      <w:pPr>
        <w:adjustRightInd w:val="0"/>
        <w:snapToGrid w:val="0"/>
        <w:spacing w:line="540" w:lineRule="exact"/>
        <w:ind w:firstLine="643" w:firstLineChars="200"/>
        <w:rPr>
          <w:rFonts w:ascii="仿宋_GB2312" w:hAnsi="宋体" w:eastAsia="仿宋_GB2312" w:cs="仿宋_GB2312"/>
          <w:b/>
          <w:bCs/>
          <w:color w:val="000000"/>
          <w:sz w:val="32"/>
          <w:szCs w:val="32"/>
          <w:shd w:val="clear" w:color="auto" w:fill="FFFFFF"/>
        </w:rPr>
      </w:pPr>
      <w:r>
        <w:rPr>
          <w:rFonts w:hint="eastAsia" w:ascii="仿宋_GB2312" w:hAnsi="宋体" w:eastAsia="仿宋_GB2312" w:cs="仿宋_GB2312"/>
          <w:b/>
          <w:bCs/>
          <w:color w:val="000000"/>
          <w:sz w:val="32"/>
          <w:szCs w:val="32"/>
          <w:shd w:val="clear" w:color="auto" w:fill="FFFFFF"/>
        </w:rPr>
        <w:t>（二）下一步工作规划</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深刻领会交通强国、交通强区、交通强市战略意义，贯彻落实好</w:t>
      </w:r>
      <w:r>
        <w:rPr>
          <w:rFonts w:hint="eastAsia" w:ascii="仿宋_GB2312" w:hAnsi="宋体" w:eastAsia="仿宋_GB2312" w:cs="宋体"/>
          <w:sz w:val="32"/>
          <w:szCs w:val="32"/>
        </w:rPr>
        <w:t>《吐鲁番市“十四五”综合交通运输发展规划》要求，充分发挥交通运输工作的基础性、战略性、先导性作用，全面服务和保障吐鲁番市经济高质量发展，提高人民群众出行幸福感和满意度。结合工作实际，把规划目标任务转化为具体工作加快推进，保障各项工作任务落实落地。</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一是做好《规划》的学习、宣传工作。</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二是做好规划执行。充分做好《规划》目标任务与职能履行相结合，推进工作落实。</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三是加强监督检查。加强与市级有关部门沟通，做好规划各项工作的推进和落实，积极配合市政府做好监督检查，保障各项工作任务落实落地。</w:t>
      </w:r>
    </w:p>
    <w:p>
      <w:pPr>
        <w:adjustRightInd w:val="0"/>
        <w:snapToGrid w:val="0"/>
        <w:spacing w:line="540" w:lineRule="exact"/>
        <w:ind w:firstLine="667" w:firstLineChars="200"/>
        <w:rPr>
          <w:rFonts w:ascii="楷体" w:hAnsi="楷体" w:eastAsia="楷体" w:cstheme="minorBidi"/>
          <w:b/>
          <w:bCs/>
          <w:spacing w:val="6"/>
          <w:sz w:val="32"/>
          <w:szCs w:val="32"/>
        </w:rPr>
      </w:pPr>
      <w:r>
        <w:rPr>
          <w:rFonts w:hint="eastAsia" w:ascii="楷体" w:hAnsi="楷体" w:eastAsia="楷体"/>
          <w:b/>
          <w:bCs/>
          <w:spacing w:val="6"/>
          <w:sz w:val="32"/>
          <w:szCs w:val="32"/>
        </w:rPr>
        <w:t>8、单位财务管理制度情况</w:t>
      </w:r>
    </w:p>
    <w:p>
      <w:pPr>
        <w:adjustRightInd w:val="0"/>
        <w:snapToGrid w:val="0"/>
        <w:spacing w:line="540" w:lineRule="exact"/>
        <w:ind w:firstLine="640" w:firstLineChars="2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市交通运输局财务管理制度健全，已制定相应的财务管理制度。为规范项目资金的管理，提高资金使用效益，保证项目顺利实施，我局基本按照《政府会计制度》相关规定及《吐鲁番市交通运输局财务管理制度》规定对项目资金进行管理，对项目资金使用审批及支付流程等方面进行了规范，建立了相关账目及会计科目，支出凭据完整规范。</w:t>
      </w:r>
    </w:p>
    <w:p>
      <w:pPr>
        <w:spacing w:line="520" w:lineRule="exact"/>
        <w:ind w:firstLine="4800" w:firstLineChars="1500"/>
        <w:rPr>
          <w:rFonts w:ascii="仿宋_GB2312" w:hAnsi="宋体" w:eastAsia="仿宋_GB2312" w:cs="仿宋_GB2312"/>
          <w:color w:val="000000"/>
          <w:sz w:val="32"/>
          <w:szCs w:val="32"/>
          <w:shd w:val="clear" w:color="auto" w:fill="FFFFFF"/>
        </w:rPr>
      </w:pPr>
    </w:p>
    <w:p>
      <w:pPr>
        <w:spacing w:line="520" w:lineRule="exact"/>
        <w:ind w:firstLine="4800" w:firstLineChars="1500"/>
        <w:rPr>
          <w:rFonts w:ascii="仿宋_GB2312" w:hAnsi="宋体" w:eastAsia="仿宋_GB2312" w:cs="仿宋_GB2312"/>
          <w:color w:val="000000"/>
          <w:sz w:val="32"/>
          <w:szCs w:val="32"/>
          <w:shd w:val="clear" w:color="auto" w:fill="FFFFFF"/>
        </w:rPr>
      </w:pPr>
    </w:p>
    <w:p>
      <w:pPr>
        <w:spacing w:line="520" w:lineRule="exact"/>
        <w:ind w:firstLine="4800" w:firstLineChars="1500"/>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吐鲁番市交通运输局</w:t>
      </w:r>
    </w:p>
    <w:p>
      <w:pPr>
        <w:spacing w:line="520" w:lineRule="exact"/>
        <w:ind w:firstLine="5126" w:firstLineChars="1602"/>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2022年9月12日</w:t>
      </w:r>
    </w:p>
    <w:p>
      <w:pPr>
        <w:spacing w:line="520" w:lineRule="exact"/>
        <w:ind w:firstLine="5126" w:firstLineChars="1602"/>
        <w:rPr>
          <w:rFonts w:ascii="仿宋_GB2312" w:hAnsi="宋体" w:eastAsia="仿宋_GB2312" w:cs="仿宋_GB2312"/>
          <w:color w:val="000000"/>
          <w:sz w:val="32"/>
          <w:szCs w:val="32"/>
          <w:shd w:val="clear" w:color="auto" w:fill="FFFFFF"/>
        </w:rPr>
      </w:pPr>
    </w:p>
    <w:p>
      <w:pPr>
        <w:spacing w:line="520" w:lineRule="exact"/>
        <w:ind w:firstLine="744" w:firstLineChars="200"/>
        <w:jc w:val="center"/>
        <w:rPr>
          <w:rFonts w:ascii="黑体" w:eastAsia="黑体" w:hAnsiTheme="minorHAnsi" w:cstheme="minorBidi"/>
          <w:spacing w:val="6"/>
          <w:sz w:val="28"/>
          <w:szCs w:val="24"/>
        </w:rPr>
      </w:pPr>
      <w:r>
        <w:rPr>
          <w:rFonts w:hint="eastAsia" w:ascii="黑体" w:eastAsia="黑体"/>
          <w:spacing w:val="6"/>
          <w:sz w:val="36"/>
          <w:szCs w:val="36"/>
        </w:rPr>
        <w:t>访谈联系表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3"/>
        <w:gridCol w:w="1890"/>
        <w:gridCol w:w="2000"/>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tcBorders>
              <w:top w:val="single" w:color="auto" w:sz="4" w:space="0"/>
              <w:left w:val="single" w:color="auto" w:sz="4" w:space="0"/>
              <w:bottom w:val="single" w:color="auto" w:sz="4" w:space="0"/>
              <w:right w:val="single" w:color="auto" w:sz="4" w:space="0"/>
            </w:tcBorders>
          </w:tcPr>
          <w:p>
            <w:pPr>
              <w:spacing w:line="520" w:lineRule="exact"/>
              <w:jc w:val="center"/>
              <w:rPr>
                <w:rFonts w:ascii="宋体" w:hAnsi="宋体" w:cs="宋体"/>
                <w:b/>
                <w:bCs/>
                <w:color w:val="000000"/>
                <w:sz w:val="30"/>
                <w:szCs w:val="30"/>
                <w:shd w:val="clear" w:color="auto" w:fill="FFFFFF"/>
              </w:rPr>
            </w:pPr>
            <w:r>
              <w:rPr>
                <w:rFonts w:hint="eastAsia" w:ascii="宋体" w:hAnsi="宋体" w:cs="宋体"/>
                <w:b/>
                <w:bCs/>
                <w:color w:val="000000"/>
                <w:sz w:val="30"/>
                <w:szCs w:val="30"/>
                <w:shd w:val="clear" w:color="auto" w:fill="FFFFFF"/>
              </w:rPr>
              <w:t>访谈对象</w:t>
            </w:r>
          </w:p>
        </w:tc>
        <w:tc>
          <w:tcPr>
            <w:tcW w:w="1890" w:type="dxa"/>
            <w:tcBorders>
              <w:top w:val="single" w:color="auto" w:sz="4" w:space="0"/>
              <w:left w:val="single" w:color="auto" w:sz="4" w:space="0"/>
              <w:bottom w:val="single" w:color="auto" w:sz="4" w:space="0"/>
              <w:right w:val="single" w:color="auto" w:sz="4" w:space="0"/>
            </w:tcBorders>
          </w:tcPr>
          <w:p>
            <w:pPr>
              <w:spacing w:line="520" w:lineRule="exact"/>
              <w:jc w:val="center"/>
              <w:rPr>
                <w:rFonts w:ascii="宋体" w:hAnsi="宋体" w:cs="宋体"/>
                <w:b/>
                <w:bCs/>
                <w:color w:val="000000"/>
                <w:sz w:val="30"/>
                <w:szCs w:val="30"/>
                <w:shd w:val="clear" w:color="auto" w:fill="FFFFFF"/>
              </w:rPr>
            </w:pPr>
            <w:r>
              <w:rPr>
                <w:rFonts w:hint="eastAsia" w:ascii="宋体" w:hAnsi="宋体" w:cs="宋体"/>
                <w:b/>
                <w:bCs/>
                <w:color w:val="000000"/>
                <w:sz w:val="30"/>
                <w:szCs w:val="30"/>
                <w:shd w:val="clear" w:color="auto" w:fill="FFFFFF"/>
              </w:rPr>
              <w:t>被访谈者</w:t>
            </w:r>
          </w:p>
        </w:tc>
        <w:tc>
          <w:tcPr>
            <w:tcW w:w="2000" w:type="dxa"/>
            <w:tcBorders>
              <w:top w:val="single" w:color="auto" w:sz="4" w:space="0"/>
              <w:left w:val="single" w:color="auto" w:sz="4" w:space="0"/>
              <w:bottom w:val="single" w:color="auto" w:sz="4" w:space="0"/>
              <w:right w:val="single" w:color="auto" w:sz="4" w:space="0"/>
            </w:tcBorders>
          </w:tcPr>
          <w:p>
            <w:pPr>
              <w:spacing w:line="520" w:lineRule="exact"/>
              <w:jc w:val="center"/>
              <w:rPr>
                <w:rFonts w:ascii="宋体" w:hAnsi="宋体" w:cs="宋体"/>
                <w:b/>
                <w:bCs/>
                <w:color w:val="000000"/>
                <w:sz w:val="30"/>
                <w:szCs w:val="30"/>
                <w:shd w:val="clear" w:color="auto" w:fill="FFFFFF"/>
              </w:rPr>
            </w:pPr>
            <w:r>
              <w:rPr>
                <w:rFonts w:hint="eastAsia" w:ascii="宋体" w:hAnsi="宋体" w:cs="宋体"/>
                <w:b/>
                <w:bCs/>
                <w:color w:val="000000"/>
                <w:sz w:val="30"/>
                <w:szCs w:val="30"/>
                <w:shd w:val="clear" w:color="auto" w:fill="FFFFFF"/>
              </w:rPr>
              <w:t>联系方式</w:t>
            </w:r>
          </w:p>
        </w:tc>
        <w:tc>
          <w:tcPr>
            <w:tcW w:w="1399" w:type="dxa"/>
            <w:tcBorders>
              <w:top w:val="single" w:color="auto" w:sz="4" w:space="0"/>
              <w:left w:val="single" w:color="auto" w:sz="4" w:space="0"/>
              <w:bottom w:val="single" w:color="auto" w:sz="4" w:space="0"/>
              <w:right w:val="single" w:color="auto" w:sz="4" w:space="0"/>
            </w:tcBorders>
          </w:tcPr>
          <w:p>
            <w:pPr>
              <w:spacing w:line="520" w:lineRule="exact"/>
              <w:jc w:val="center"/>
              <w:rPr>
                <w:rFonts w:ascii="宋体" w:hAnsi="宋体" w:cs="宋体"/>
                <w:b/>
                <w:bCs/>
                <w:color w:val="000000"/>
                <w:sz w:val="30"/>
                <w:szCs w:val="30"/>
                <w:shd w:val="clear" w:color="auto" w:fill="FFFFFF"/>
              </w:rPr>
            </w:pPr>
            <w:r>
              <w:rPr>
                <w:rFonts w:hint="eastAsia" w:ascii="宋体" w:hAnsi="宋体" w:cs="宋体"/>
                <w:b/>
                <w:bCs/>
                <w:color w:val="000000"/>
                <w:sz w:val="30"/>
                <w:szCs w:val="30"/>
                <w:shd w:val="clear" w:color="auto" w:fil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tcBorders>
              <w:top w:val="single" w:color="auto" w:sz="4" w:space="0"/>
              <w:left w:val="single" w:color="auto" w:sz="4" w:space="0"/>
              <w:bottom w:val="single" w:color="auto" w:sz="4" w:space="0"/>
              <w:right w:val="single" w:color="auto" w:sz="4" w:space="0"/>
            </w:tcBorders>
          </w:tcPr>
          <w:p>
            <w:pPr>
              <w:spacing w:line="520" w:lineRule="exact"/>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吐鲁番市交通运输局</w:t>
            </w:r>
          </w:p>
        </w:tc>
        <w:tc>
          <w:tcPr>
            <w:tcW w:w="1890" w:type="dxa"/>
            <w:tcBorders>
              <w:top w:val="single" w:color="auto" w:sz="4" w:space="0"/>
              <w:left w:val="single" w:color="auto" w:sz="4" w:space="0"/>
              <w:bottom w:val="single" w:color="auto" w:sz="4" w:space="0"/>
              <w:right w:val="single" w:color="auto" w:sz="4" w:space="0"/>
            </w:tcBorders>
          </w:tcPr>
          <w:p>
            <w:pPr>
              <w:spacing w:line="520" w:lineRule="exact"/>
              <w:jc w:val="center"/>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陈实</w:t>
            </w:r>
          </w:p>
        </w:tc>
        <w:tc>
          <w:tcPr>
            <w:tcW w:w="2000" w:type="dxa"/>
            <w:tcBorders>
              <w:top w:val="single" w:color="auto" w:sz="4" w:space="0"/>
              <w:left w:val="single" w:color="auto" w:sz="4" w:space="0"/>
              <w:bottom w:val="single" w:color="auto" w:sz="4" w:space="0"/>
              <w:right w:val="single" w:color="auto" w:sz="4" w:space="0"/>
            </w:tcBorders>
          </w:tcPr>
          <w:p>
            <w:pPr>
              <w:spacing w:line="520" w:lineRule="exact"/>
              <w:rPr>
                <w:rFonts w:ascii="仿宋_GB2312" w:hAnsi="宋体" w:eastAsia="仿宋_GB2312" w:cs="仿宋_GB2312"/>
                <w:color w:val="000000"/>
                <w:sz w:val="32"/>
                <w:szCs w:val="32"/>
                <w:shd w:val="clear" w:color="auto" w:fill="FFFFFF"/>
              </w:rPr>
            </w:pPr>
            <w:r>
              <w:rPr>
                <w:rFonts w:hint="eastAsia" w:ascii="仿宋_GB2312" w:hAnsi="宋体" w:eastAsia="仿宋_GB2312" w:cs="仿宋_GB2312"/>
                <w:color w:val="000000"/>
                <w:sz w:val="32"/>
                <w:szCs w:val="32"/>
                <w:shd w:val="clear" w:color="auto" w:fill="FFFFFF"/>
              </w:rPr>
              <w:t>13909958628</w:t>
            </w:r>
          </w:p>
        </w:tc>
        <w:tc>
          <w:tcPr>
            <w:tcW w:w="1399" w:type="dxa"/>
            <w:tcBorders>
              <w:top w:val="single" w:color="auto" w:sz="4" w:space="0"/>
              <w:left w:val="single" w:color="auto" w:sz="4" w:space="0"/>
              <w:bottom w:val="single" w:color="auto" w:sz="4" w:space="0"/>
              <w:right w:val="single" w:color="auto" w:sz="4" w:space="0"/>
            </w:tcBorders>
          </w:tcPr>
          <w:p>
            <w:pPr>
              <w:spacing w:line="520" w:lineRule="exact"/>
              <w:rPr>
                <w:rFonts w:ascii="仿宋_GB2312" w:hAnsi="宋体" w:eastAsia="仿宋_GB2312" w:cs="仿宋_GB2312"/>
                <w:color w:val="000000"/>
                <w:sz w:val="32"/>
                <w:szCs w:val="32"/>
                <w:shd w:val="clear" w:color="auto" w:fill="FFFFFF"/>
              </w:rPr>
            </w:pPr>
          </w:p>
        </w:tc>
      </w:tr>
    </w:tbl>
    <w:p>
      <w:pPr>
        <w:pStyle w:val="32"/>
        <w:spacing w:line="560" w:lineRule="exact"/>
        <w:ind w:firstLine="0" w:firstLineChars="0"/>
        <w:outlineLvl w:val="0"/>
        <w:rPr>
          <w:rFonts w:ascii="黑体" w:hAnsi="黑体" w:eastAsia="黑体"/>
          <w:bCs/>
          <w:sz w:val="32"/>
          <w:szCs w:val="32"/>
        </w:rPr>
      </w:pPr>
      <w:r>
        <w:rPr>
          <w:rFonts w:hint="eastAsia" w:ascii="黑体" w:hAnsi="黑体" w:eastAsia="黑体"/>
          <w:bCs/>
          <w:sz w:val="32"/>
          <w:szCs w:val="32"/>
        </w:rPr>
        <w:t>附件</w:t>
      </w:r>
      <w:r>
        <w:rPr>
          <w:rFonts w:ascii="黑体" w:hAnsi="黑体" w:eastAsia="黑体"/>
          <w:bCs/>
          <w:sz w:val="32"/>
          <w:szCs w:val="32"/>
        </w:rPr>
        <w:t>3</w:t>
      </w:r>
      <w:r>
        <w:rPr>
          <w:rFonts w:hint="eastAsia" w:ascii="黑体" w:hAnsi="黑体" w:eastAsia="黑体"/>
          <w:bCs/>
          <w:sz w:val="32"/>
          <w:szCs w:val="32"/>
        </w:rPr>
        <w:t>相关佐证材料</w:t>
      </w:r>
    </w:p>
    <w:p>
      <w:pPr>
        <w:pStyle w:val="32"/>
        <w:spacing w:line="560" w:lineRule="exact"/>
        <w:ind w:firstLine="0" w:firstLineChars="0"/>
        <w:outlineLvl w:val="0"/>
        <w:rPr>
          <w:rFonts w:ascii="黑体" w:hAnsi="黑体" w:eastAsia="黑体"/>
          <w:bCs/>
          <w:sz w:val="32"/>
          <w:szCs w:val="32"/>
        </w:rPr>
      </w:pPr>
    </w:p>
    <w:p>
      <w:pPr>
        <w:pStyle w:val="2"/>
      </w:pPr>
      <w:r>
        <w:drawing>
          <wp:anchor distT="0" distB="0" distL="114300" distR="114300" simplePos="0" relativeHeight="251663360" behindDoc="0" locked="0" layoutInCell="1" allowOverlap="1">
            <wp:simplePos x="0" y="0"/>
            <wp:positionH relativeFrom="column">
              <wp:posOffset>-108585</wp:posOffset>
            </wp:positionH>
            <wp:positionV relativeFrom="paragraph">
              <wp:posOffset>250825</wp:posOffset>
            </wp:positionV>
            <wp:extent cx="5615940" cy="5701030"/>
            <wp:effectExtent l="0" t="0" r="381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15940" cy="5701030"/>
                    </a:xfrm>
                    <a:prstGeom prst="rect">
                      <a:avLst/>
                    </a:prstGeom>
                    <a:noFill/>
                    <a:ln>
                      <a:noFill/>
                    </a:ln>
                  </pic:spPr>
                </pic:pic>
              </a:graphicData>
            </a:graphic>
          </wp:anchor>
        </w:drawing>
      </w:r>
      <w:r>
        <w:br w:type="page"/>
      </w:r>
    </w:p>
    <w:p>
      <w:pPr>
        <w:pStyle w:val="2"/>
      </w:pPr>
      <w:r>
        <w:drawing>
          <wp:inline distT="0" distB="0" distL="0" distR="0">
            <wp:extent cx="5615940" cy="7406005"/>
            <wp:effectExtent l="0" t="0" r="381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615940" cy="7406005"/>
                    </a:xfrm>
                    <a:prstGeom prst="rect">
                      <a:avLst/>
                    </a:prstGeom>
                  </pic:spPr>
                </pic:pic>
              </a:graphicData>
            </a:graphic>
          </wp:inline>
        </w:drawing>
      </w:r>
      <w:r>
        <w:br w:type="page"/>
      </w:r>
    </w:p>
    <w:p>
      <w:pPr>
        <w:pStyle w:val="2"/>
        <w:rPr>
          <w:kern w:val="0"/>
        </w:rPr>
      </w:pPr>
    </w:p>
    <w:p>
      <w:pPr>
        <w:pStyle w:val="32"/>
        <w:spacing w:line="560" w:lineRule="exact"/>
        <w:ind w:firstLine="0" w:firstLineChars="0"/>
        <w:outlineLvl w:val="0"/>
        <w:rPr>
          <w:rFonts w:ascii="黑体" w:hAnsi="黑体" w:eastAsia="黑体"/>
          <w:bCs/>
          <w:sz w:val="32"/>
          <w:szCs w:val="32"/>
        </w:rPr>
      </w:pPr>
      <w:r>
        <w:drawing>
          <wp:anchor distT="0" distB="0" distL="114300" distR="114300" simplePos="0" relativeHeight="251659264" behindDoc="0" locked="0" layoutInCell="1" allowOverlap="1">
            <wp:simplePos x="0" y="0"/>
            <wp:positionH relativeFrom="column">
              <wp:posOffset>304165</wp:posOffset>
            </wp:positionH>
            <wp:positionV relativeFrom="paragraph">
              <wp:posOffset>625475</wp:posOffset>
            </wp:positionV>
            <wp:extent cx="4330700" cy="6794500"/>
            <wp:effectExtent l="0" t="0" r="0"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37256" cy="6804325"/>
                    </a:xfrm>
                    <a:prstGeom prst="rect">
                      <a:avLst/>
                    </a:prstGeom>
                    <a:noFill/>
                    <a:ln>
                      <a:noFill/>
                    </a:ln>
                  </pic:spPr>
                </pic:pic>
              </a:graphicData>
            </a:graphic>
          </wp:anchor>
        </w:drawing>
      </w:r>
    </w:p>
    <w:p>
      <w:pPr>
        <w:pStyle w:val="2"/>
        <w:rPr>
          <w:kern w:val="0"/>
        </w:rPr>
      </w:pPr>
      <w:r>
        <w:br w:type="page"/>
      </w:r>
    </w:p>
    <w:p>
      <w:pPr>
        <w:pStyle w:val="32"/>
        <w:spacing w:line="560" w:lineRule="exact"/>
        <w:ind w:firstLine="0" w:firstLineChars="0"/>
        <w:outlineLvl w:val="0"/>
        <w:rPr>
          <w:rFonts w:ascii="黑体" w:hAnsi="黑体" w:eastAsia="黑体"/>
          <w:bCs/>
          <w:sz w:val="32"/>
          <w:szCs w:val="32"/>
        </w:rPr>
      </w:pPr>
      <w:r>
        <w:drawing>
          <wp:anchor distT="0" distB="0" distL="114300" distR="114300" simplePos="0" relativeHeight="251660288" behindDoc="0" locked="0" layoutInCell="1" allowOverlap="1">
            <wp:simplePos x="0" y="0"/>
            <wp:positionH relativeFrom="column">
              <wp:posOffset>215265</wp:posOffset>
            </wp:positionH>
            <wp:positionV relativeFrom="paragraph">
              <wp:posOffset>295275</wp:posOffset>
            </wp:positionV>
            <wp:extent cx="5016500" cy="760349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016500" cy="7603189"/>
                    </a:xfrm>
                    <a:prstGeom prst="rect">
                      <a:avLst/>
                    </a:prstGeom>
                    <a:noFill/>
                    <a:ln>
                      <a:noFill/>
                    </a:ln>
                  </pic:spPr>
                </pic:pic>
              </a:graphicData>
            </a:graphic>
          </wp:anchor>
        </w:drawing>
      </w:r>
    </w:p>
    <w:p>
      <w:pPr>
        <w:pStyle w:val="2"/>
        <w:rPr>
          <w:kern w:val="0"/>
        </w:rPr>
      </w:pPr>
      <w:r>
        <w:br w:type="page"/>
      </w:r>
    </w:p>
    <w:p>
      <w:pPr>
        <w:pStyle w:val="32"/>
        <w:spacing w:line="560" w:lineRule="exact"/>
        <w:ind w:firstLine="0" w:firstLineChars="0"/>
        <w:outlineLvl w:val="0"/>
        <w:rPr>
          <w:rFonts w:ascii="黑体" w:hAnsi="黑体" w:eastAsia="黑体"/>
          <w:bCs/>
          <w:sz w:val="32"/>
          <w:szCs w:val="32"/>
        </w:rPr>
      </w:pPr>
      <w:r>
        <w:drawing>
          <wp:anchor distT="0" distB="0" distL="114300" distR="114300" simplePos="0" relativeHeight="251661312" behindDoc="0" locked="0" layoutInCell="1" allowOverlap="1">
            <wp:simplePos x="0" y="0"/>
            <wp:positionH relativeFrom="column">
              <wp:posOffset>316865</wp:posOffset>
            </wp:positionH>
            <wp:positionV relativeFrom="paragraph">
              <wp:posOffset>141605</wp:posOffset>
            </wp:positionV>
            <wp:extent cx="4540250" cy="735584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40007" cy="7356005"/>
                    </a:xfrm>
                    <a:prstGeom prst="rect">
                      <a:avLst/>
                    </a:prstGeom>
                    <a:noFill/>
                    <a:ln>
                      <a:noFill/>
                    </a:ln>
                  </pic:spPr>
                </pic:pic>
              </a:graphicData>
            </a:graphic>
          </wp:anchor>
        </w:drawing>
      </w:r>
    </w:p>
    <w:p>
      <w:pPr>
        <w:pStyle w:val="2"/>
        <w:rPr>
          <w:kern w:val="0"/>
        </w:rPr>
      </w:pPr>
      <w:r>
        <w:br w:type="page"/>
      </w:r>
    </w:p>
    <w:p>
      <w:pPr>
        <w:pStyle w:val="32"/>
        <w:spacing w:line="560" w:lineRule="exact"/>
        <w:ind w:firstLine="0" w:firstLineChars="0"/>
        <w:outlineLvl w:val="0"/>
        <w:rPr>
          <w:rFonts w:ascii="黑体" w:hAnsi="黑体" w:eastAsia="黑体"/>
          <w:bCs/>
          <w:sz w:val="32"/>
          <w:szCs w:val="32"/>
        </w:rPr>
      </w:pPr>
    </w:p>
    <w:p>
      <w:pPr>
        <w:pStyle w:val="2"/>
        <w:rPr>
          <w:kern w:val="0"/>
        </w:rPr>
      </w:pPr>
      <w:r>
        <w:drawing>
          <wp:anchor distT="0" distB="0" distL="114300" distR="114300" simplePos="0" relativeHeight="251662336" behindDoc="0" locked="0" layoutInCell="1" allowOverlap="1">
            <wp:simplePos x="0" y="0"/>
            <wp:positionH relativeFrom="column">
              <wp:posOffset>272415</wp:posOffset>
            </wp:positionH>
            <wp:positionV relativeFrom="paragraph">
              <wp:posOffset>142875</wp:posOffset>
            </wp:positionV>
            <wp:extent cx="4847590" cy="7346950"/>
            <wp:effectExtent l="0" t="0" r="0" b="635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849290" cy="7349760"/>
                    </a:xfrm>
                    <a:prstGeom prst="rect">
                      <a:avLst/>
                    </a:prstGeom>
                    <a:noFill/>
                    <a:ln>
                      <a:noFill/>
                    </a:ln>
                  </pic:spPr>
                </pic:pic>
              </a:graphicData>
            </a:graphic>
          </wp:anchor>
        </w:drawing>
      </w:r>
      <w:r>
        <w:br w:type="page"/>
      </w:r>
    </w:p>
    <w:p>
      <w:pPr>
        <w:pStyle w:val="2"/>
        <w:rPr>
          <w:kern w:val="0"/>
        </w:rPr>
      </w:pPr>
      <w:r>
        <w:drawing>
          <wp:inline distT="0" distB="0" distL="0" distR="0">
            <wp:extent cx="4928870" cy="806323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28870" cy="8063230"/>
                    </a:xfrm>
                    <a:prstGeom prst="rect">
                      <a:avLst/>
                    </a:prstGeom>
                    <a:noFill/>
                    <a:ln>
                      <a:noFill/>
                    </a:ln>
                  </pic:spPr>
                </pic:pic>
              </a:graphicData>
            </a:graphic>
          </wp:inline>
        </w:drawing>
      </w:r>
    </w:p>
    <w:p>
      <w:pPr>
        <w:pStyle w:val="2"/>
      </w:pPr>
      <w:r>
        <w:drawing>
          <wp:inline distT="0" distB="0" distL="0" distR="0">
            <wp:extent cx="5386705" cy="806323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86705" cy="8063230"/>
                    </a:xfrm>
                    <a:prstGeom prst="rect">
                      <a:avLst/>
                    </a:prstGeom>
                    <a:noFill/>
                    <a:ln>
                      <a:noFill/>
                    </a:ln>
                  </pic:spPr>
                </pic:pic>
              </a:graphicData>
            </a:graphic>
          </wp:inline>
        </w:drawing>
      </w:r>
      <w:r>
        <w:br w:type="page"/>
      </w:r>
    </w:p>
    <w:p>
      <w:pPr>
        <w:pStyle w:val="2"/>
        <w:rPr>
          <w:kern w:val="0"/>
        </w:rPr>
      </w:pPr>
      <w:r>
        <w:drawing>
          <wp:inline distT="0" distB="0" distL="0" distR="0">
            <wp:extent cx="5359400" cy="76282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60983" cy="7631096"/>
                    </a:xfrm>
                    <a:prstGeom prst="rect">
                      <a:avLst/>
                    </a:prstGeom>
                    <a:noFill/>
                    <a:ln>
                      <a:noFill/>
                    </a:ln>
                  </pic:spPr>
                </pic:pic>
              </a:graphicData>
            </a:graphic>
          </wp:inline>
        </w:drawing>
      </w:r>
    </w:p>
    <w:p>
      <w:pPr>
        <w:pStyle w:val="2"/>
      </w:pPr>
      <w:r>
        <w:br w:type="page"/>
      </w:r>
    </w:p>
    <w:p>
      <w:pPr>
        <w:pStyle w:val="2"/>
        <w:rPr>
          <w:kern w:val="0"/>
        </w:rPr>
      </w:pPr>
      <w:r>
        <w:drawing>
          <wp:inline distT="0" distB="0" distL="0" distR="0">
            <wp:extent cx="3547745" cy="5005705"/>
            <wp:effectExtent l="0" t="508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rot="16200000">
                      <a:off x="0" y="0"/>
                      <a:ext cx="3562687" cy="5026596"/>
                    </a:xfrm>
                    <a:prstGeom prst="rect">
                      <a:avLst/>
                    </a:prstGeom>
                    <a:noFill/>
                    <a:ln>
                      <a:noFill/>
                    </a:ln>
                  </pic:spPr>
                </pic:pic>
              </a:graphicData>
            </a:graphic>
          </wp:inline>
        </w:drawing>
      </w:r>
    </w:p>
    <w:p>
      <w:pPr>
        <w:pStyle w:val="2"/>
        <w:rPr>
          <w:kern w:val="0"/>
        </w:rPr>
      </w:pPr>
      <w:r>
        <w:drawing>
          <wp:inline distT="0" distB="0" distL="0" distR="0">
            <wp:extent cx="4495800" cy="356171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500237" cy="3565486"/>
                    </a:xfrm>
                    <a:prstGeom prst="rect">
                      <a:avLst/>
                    </a:prstGeom>
                    <a:noFill/>
                    <a:ln>
                      <a:noFill/>
                    </a:ln>
                  </pic:spPr>
                </pic:pic>
              </a:graphicData>
            </a:graphic>
          </wp:inline>
        </w:drawing>
      </w:r>
    </w:p>
    <w:p>
      <w:pPr>
        <w:pStyle w:val="2"/>
      </w:pPr>
      <w:r>
        <w:br w:type="page"/>
      </w:r>
    </w:p>
    <w:p>
      <w:pPr>
        <w:pStyle w:val="2"/>
        <w:rPr>
          <w:kern w:val="0"/>
        </w:rPr>
      </w:pPr>
      <w:r>
        <w:drawing>
          <wp:inline distT="0" distB="0" distL="0" distR="0">
            <wp:extent cx="5615940" cy="3604895"/>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15940" cy="3604895"/>
                    </a:xfrm>
                    <a:prstGeom prst="rect">
                      <a:avLst/>
                    </a:prstGeom>
                    <a:noFill/>
                    <a:ln>
                      <a:noFill/>
                    </a:ln>
                  </pic:spPr>
                </pic:pic>
              </a:graphicData>
            </a:graphic>
          </wp:inline>
        </w:drawing>
      </w:r>
    </w:p>
    <w:p>
      <w:r>
        <w:drawing>
          <wp:inline distT="0" distB="0" distL="0" distR="0">
            <wp:extent cx="5615940" cy="419862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15940" cy="4198620"/>
                    </a:xfrm>
                    <a:prstGeom prst="rect">
                      <a:avLst/>
                    </a:prstGeom>
                    <a:noFill/>
                    <a:ln>
                      <a:noFill/>
                    </a:ln>
                  </pic:spPr>
                </pic:pic>
              </a:graphicData>
            </a:graphic>
          </wp:inline>
        </w:drawing>
      </w:r>
    </w:p>
    <w:p>
      <w:pPr>
        <w:pStyle w:val="2"/>
        <w:spacing w:line="20" w:lineRule="exact"/>
      </w:pPr>
    </w:p>
    <w:sectPr>
      <w:pgSz w:w="11906" w:h="16838"/>
      <w:pgMar w:top="2155" w:right="1531" w:bottom="1985" w:left="1531" w:header="851" w:footer="170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font-weight : 700">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2540193"/>
    </w:sdtPr>
    <w:sdtContent>
      <w:p>
        <w:pPr>
          <w:pStyle w:val="7"/>
          <w:ind w:firstLine="562"/>
          <w:jc w:val="center"/>
        </w:pPr>
        <w:r>
          <w:fldChar w:fldCharType="begin"/>
        </w:r>
        <w:r>
          <w:instrText xml:space="preserve">PAGE   \* MERGEFORMAT</w:instrText>
        </w:r>
        <w:r>
          <w:fldChar w:fldCharType="separate"/>
        </w:r>
        <w:r>
          <w:rPr>
            <w:lang w:val="zh-CN"/>
          </w:rPr>
          <w:t>2</w:t>
        </w:r>
        <w:r>
          <w:fldChar w:fldCharType="end"/>
        </w:r>
      </w:p>
    </w:sdtContent>
  </w:sdt>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6B41B0"/>
    <w:multiLevelType w:val="singleLevel"/>
    <w:tmpl w:val="5C6B41B0"/>
    <w:lvl w:ilvl="0" w:tentative="0">
      <w:start w:val="3"/>
      <w:numFmt w:val="decimal"/>
      <w:suff w:val="nothing"/>
      <w:lvlText w:val="（%1）"/>
      <w:lvlJc w:val="left"/>
      <w:pPr>
        <w:ind w:left="0" w:firstLine="0"/>
      </w:pPr>
    </w:lvl>
  </w:abstractNum>
  <w:abstractNum w:abstractNumId="1">
    <w:nsid w:val="61106D89"/>
    <w:multiLevelType w:val="multilevel"/>
    <w:tmpl w:val="61106D89"/>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EyMTIxNTJlMjY2NjM5NjdjYmYwZjVhYjA4ZGEwODEifQ=="/>
  </w:docVars>
  <w:rsids>
    <w:rsidRoot w:val="008E2D98"/>
    <w:rsid w:val="00003C82"/>
    <w:rsid w:val="00006638"/>
    <w:rsid w:val="0000672A"/>
    <w:rsid w:val="00007EE2"/>
    <w:rsid w:val="00010719"/>
    <w:rsid w:val="00011F31"/>
    <w:rsid w:val="00014BB7"/>
    <w:rsid w:val="0001685F"/>
    <w:rsid w:val="00027AA6"/>
    <w:rsid w:val="00030D82"/>
    <w:rsid w:val="00033553"/>
    <w:rsid w:val="00034B7C"/>
    <w:rsid w:val="00034D61"/>
    <w:rsid w:val="00035FBD"/>
    <w:rsid w:val="000375B4"/>
    <w:rsid w:val="000376A0"/>
    <w:rsid w:val="00041FF1"/>
    <w:rsid w:val="00043E6D"/>
    <w:rsid w:val="000472FA"/>
    <w:rsid w:val="00047375"/>
    <w:rsid w:val="000511F0"/>
    <w:rsid w:val="00053AA0"/>
    <w:rsid w:val="00063230"/>
    <w:rsid w:val="0006495F"/>
    <w:rsid w:val="00065935"/>
    <w:rsid w:val="00071462"/>
    <w:rsid w:val="00077BB3"/>
    <w:rsid w:val="0008264C"/>
    <w:rsid w:val="000834AD"/>
    <w:rsid w:val="00086C6E"/>
    <w:rsid w:val="000872F8"/>
    <w:rsid w:val="00087B56"/>
    <w:rsid w:val="00093661"/>
    <w:rsid w:val="00093A7D"/>
    <w:rsid w:val="00094031"/>
    <w:rsid w:val="00094C62"/>
    <w:rsid w:val="00095B0C"/>
    <w:rsid w:val="00095E2B"/>
    <w:rsid w:val="000A121E"/>
    <w:rsid w:val="000A2657"/>
    <w:rsid w:val="000A34EB"/>
    <w:rsid w:val="000A655E"/>
    <w:rsid w:val="000A6C87"/>
    <w:rsid w:val="000A7003"/>
    <w:rsid w:val="000B06CE"/>
    <w:rsid w:val="000B2979"/>
    <w:rsid w:val="000B2BDC"/>
    <w:rsid w:val="000B3D3A"/>
    <w:rsid w:val="000B4304"/>
    <w:rsid w:val="000B4F9B"/>
    <w:rsid w:val="000B52BD"/>
    <w:rsid w:val="000B72C7"/>
    <w:rsid w:val="000C2089"/>
    <w:rsid w:val="000C5A09"/>
    <w:rsid w:val="000D1AD4"/>
    <w:rsid w:val="000D3C5C"/>
    <w:rsid w:val="000D4630"/>
    <w:rsid w:val="000D6AD4"/>
    <w:rsid w:val="000D7AA7"/>
    <w:rsid w:val="000E0915"/>
    <w:rsid w:val="000E41B6"/>
    <w:rsid w:val="000E4710"/>
    <w:rsid w:val="000E4DE7"/>
    <w:rsid w:val="000E4FF5"/>
    <w:rsid w:val="000E54EA"/>
    <w:rsid w:val="000E6912"/>
    <w:rsid w:val="000E6A90"/>
    <w:rsid w:val="000E79D4"/>
    <w:rsid w:val="000F0D9B"/>
    <w:rsid w:val="000F4809"/>
    <w:rsid w:val="000F4CFF"/>
    <w:rsid w:val="000F567E"/>
    <w:rsid w:val="000F616A"/>
    <w:rsid w:val="00103254"/>
    <w:rsid w:val="00105EB8"/>
    <w:rsid w:val="00107B68"/>
    <w:rsid w:val="001131DB"/>
    <w:rsid w:val="00113366"/>
    <w:rsid w:val="001138E7"/>
    <w:rsid w:val="0011411E"/>
    <w:rsid w:val="00117EB4"/>
    <w:rsid w:val="00121E05"/>
    <w:rsid w:val="00124ED8"/>
    <w:rsid w:val="00125C5A"/>
    <w:rsid w:val="00125CEE"/>
    <w:rsid w:val="00126A56"/>
    <w:rsid w:val="00127BB6"/>
    <w:rsid w:val="00134A00"/>
    <w:rsid w:val="00135963"/>
    <w:rsid w:val="00141F8C"/>
    <w:rsid w:val="0014628E"/>
    <w:rsid w:val="001478FA"/>
    <w:rsid w:val="0015436A"/>
    <w:rsid w:val="0016329F"/>
    <w:rsid w:val="001649CE"/>
    <w:rsid w:val="0016659B"/>
    <w:rsid w:val="001848C3"/>
    <w:rsid w:val="00192AAE"/>
    <w:rsid w:val="00192FE7"/>
    <w:rsid w:val="001958E9"/>
    <w:rsid w:val="00195F4C"/>
    <w:rsid w:val="00195FB7"/>
    <w:rsid w:val="001A042D"/>
    <w:rsid w:val="001A04F2"/>
    <w:rsid w:val="001A3926"/>
    <w:rsid w:val="001A39E0"/>
    <w:rsid w:val="001A3B7D"/>
    <w:rsid w:val="001A5F9E"/>
    <w:rsid w:val="001A72FE"/>
    <w:rsid w:val="001A7974"/>
    <w:rsid w:val="001B5496"/>
    <w:rsid w:val="001B6FDC"/>
    <w:rsid w:val="001C0C96"/>
    <w:rsid w:val="001C0FEF"/>
    <w:rsid w:val="001C10F6"/>
    <w:rsid w:val="001C1EE7"/>
    <w:rsid w:val="001C27EE"/>
    <w:rsid w:val="001C2ED1"/>
    <w:rsid w:val="001C4DBE"/>
    <w:rsid w:val="001C5700"/>
    <w:rsid w:val="001C5951"/>
    <w:rsid w:val="001D3987"/>
    <w:rsid w:val="001D50A2"/>
    <w:rsid w:val="001D5E47"/>
    <w:rsid w:val="001D739E"/>
    <w:rsid w:val="001E62E2"/>
    <w:rsid w:val="001F2581"/>
    <w:rsid w:val="001F2693"/>
    <w:rsid w:val="001F319A"/>
    <w:rsid w:val="001F76FE"/>
    <w:rsid w:val="001F7CB9"/>
    <w:rsid w:val="002016E6"/>
    <w:rsid w:val="002044BE"/>
    <w:rsid w:val="0020485F"/>
    <w:rsid w:val="00204E5D"/>
    <w:rsid w:val="00205695"/>
    <w:rsid w:val="00206556"/>
    <w:rsid w:val="002102F4"/>
    <w:rsid w:val="00211B8C"/>
    <w:rsid w:val="00212318"/>
    <w:rsid w:val="00215A5E"/>
    <w:rsid w:val="00216734"/>
    <w:rsid w:val="002216F3"/>
    <w:rsid w:val="002221BA"/>
    <w:rsid w:val="002236DF"/>
    <w:rsid w:val="00223B05"/>
    <w:rsid w:val="00224CA3"/>
    <w:rsid w:val="00225A27"/>
    <w:rsid w:val="00226057"/>
    <w:rsid w:val="00234718"/>
    <w:rsid w:val="00237842"/>
    <w:rsid w:val="0024631E"/>
    <w:rsid w:val="00246552"/>
    <w:rsid w:val="00246ED8"/>
    <w:rsid w:val="00252339"/>
    <w:rsid w:val="0025382D"/>
    <w:rsid w:val="00253F56"/>
    <w:rsid w:val="002564D8"/>
    <w:rsid w:val="00257E68"/>
    <w:rsid w:val="00261335"/>
    <w:rsid w:val="00261DFD"/>
    <w:rsid w:val="00263C82"/>
    <w:rsid w:val="00263FB4"/>
    <w:rsid w:val="00264A01"/>
    <w:rsid w:val="0026720C"/>
    <w:rsid w:val="00267262"/>
    <w:rsid w:val="00270C3D"/>
    <w:rsid w:val="00282DC2"/>
    <w:rsid w:val="00284300"/>
    <w:rsid w:val="00286849"/>
    <w:rsid w:val="00291572"/>
    <w:rsid w:val="00292038"/>
    <w:rsid w:val="002973D7"/>
    <w:rsid w:val="002A0FDE"/>
    <w:rsid w:val="002A1C73"/>
    <w:rsid w:val="002B076B"/>
    <w:rsid w:val="002B35AF"/>
    <w:rsid w:val="002B604D"/>
    <w:rsid w:val="002B6E4D"/>
    <w:rsid w:val="002C00CB"/>
    <w:rsid w:val="002C097D"/>
    <w:rsid w:val="002C45AE"/>
    <w:rsid w:val="002D000C"/>
    <w:rsid w:val="002D290A"/>
    <w:rsid w:val="002D41E8"/>
    <w:rsid w:val="002D454E"/>
    <w:rsid w:val="002D514D"/>
    <w:rsid w:val="002E361C"/>
    <w:rsid w:val="002E437D"/>
    <w:rsid w:val="002E60EA"/>
    <w:rsid w:val="002E6A26"/>
    <w:rsid w:val="002E6CBB"/>
    <w:rsid w:val="002F1CBE"/>
    <w:rsid w:val="002F31C2"/>
    <w:rsid w:val="002F504F"/>
    <w:rsid w:val="002F5093"/>
    <w:rsid w:val="002F661E"/>
    <w:rsid w:val="002F6EEF"/>
    <w:rsid w:val="002F7B24"/>
    <w:rsid w:val="002F7C47"/>
    <w:rsid w:val="00301346"/>
    <w:rsid w:val="00303441"/>
    <w:rsid w:val="00303C39"/>
    <w:rsid w:val="00304192"/>
    <w:rsid w:val="0030495F"/>
    <w:rsid w:val="0030725D"/>
    <w:rsid w:val="00307575"/>
    <w:rsid w:val="00311CCD"/>
    <w:rsid w:val="00311E89"/>
    <w:rsid w:val="00313EA7"/>
    <w:rsid w:val="00314044"/>
    <w:rsid w:val="00314BC5"/>
    <w:rsid w:val="003177DA"/>
    <w:rsid w:val="00321144"/>
    <w:rsid w:val="00322FB2"/>
    <w:rsid w:val="00326D94"/>
    <w:rsid w:val="00333B3A"/>
    <w:rsid w:val="0033596E"/>
    <w:rsid w:val="00337AB2"/>
    <w:rsid w:val="00337E34"/>
    <w:rsid w:val="00340AB3"/>
    <w:rsid w:val="00342B6C"/>
    <w:rsid w:val="00343224"/>
    <w:rsid w:val="00345CAA"/>
    <w:rsid w:val="00350EB4"/>
    <w:rsid w:val="00350F42"/>
    <w:rsid w:val="003523B1"/>
    <w:rsid w:val="0035365B"/>
    <w:rsid w:val="003537EB"/>
    <w:rsid w:val="00354A20"/>
    <w:rsid w:val="00356582"/>
    <w:rsid w:val="00357B88"/>
    <w:rsid w:val="00362B43"/>
    <w:rsid w:val="0036474C"/>
    <w:rsid w:val="00366AB6"/>
    <w:rsid w:val="00367A26"/>
    <w:rsid w:val="00367CD3"/>
    <w:rsid w:val="00372F8B"/>
    <w:rsid w:val="00373823"/>
    <w:rsid w:val="00375BDE"/>
    <w:rsid w:val="00376F5D"/>
    <w:rsid w:val="00380999"/>
    <w:rsid w:val="00380A3B"/>
    <w:rsid w:val="00383B8D"/>
    <w:rsid w:val="0038709B"/>
    <w:rsid w:val="00387469"/>
    <w:rsid w:val="00391358"/>
    <w:rsid w:val="00392B77"/>
    <w:rsid w:val="00397FC7"/>
    <w:rsid w:val="003A00C4"/>
    <w:rsid w:val="003A1621"/>
    <w:rsid w:val="003A1E2B"/>
    <w:rsid w:val="003A34B7"/>
    <w:rsid w:val="003A73C9"/>
    <w:rsid w:val="003B39F0"/>
    <w:rsid w:val="003B3DAD"/>
    <w:rsid w:val="003B453D"/>
    <w:rsid w:val="003B5663"/>
    <w:rsid w:val="003B5A33"/>
    <w:rsid w:val="003B6ACC"/>
    <w:rsid w:val="003C0505"/>
    <w:rsid w:val="003C77FB"/>
    <w:rsid w:val="003D37D0"/>
    <w:rsid w:val="003D5021"/>
    <w:rsid w:val="003D5DCC"/>
    <w:rsid w:val="003D7596"/>
    <w:rsid w:val="003E15DC"/>
    <w:rsid w:val="003E192F"/>
    <w:rsid w:val="003E3C39"/>
    <w:rsid w:val="003E4429"/>
    <w:rsid w:val="003F143D"/>
    <w:rsid w:val="003F2C36"/>
    <w:rsid w:val="003F632F"/>
    <w:rsid w:val="00400359"/>
    <w:rsid w:val="0040167C"/>
    <w:rsid w:val="00402435"/>
    <w:rsid w:val="00403114"/>
    <w:rsid w:val="0040319A"/>
    <w:rsid w:val="00405029"/>
    <w:rsid w:val="00405A99"/>
    <w:rsid w:val="004104CE"/>
    <w:rsid w:val="004136C6"/>
    <w:rsid w:val="00414E9C"/>
    <w:rsid w:val="004170E2"/>
    <w:rsid w:val="004173E2"/>
    <w:rsid w:val="00417C63"/>
    <w:rsid w:val="00424393"/>
    <w:rsid w:val="00426410"/>
    <w:rsid w:val="00426C53"/>
    <w:rsid w:val="0042706E"/>
    <w:rsid w:val="0043480A"/>
    <w:rsid w:val="00434AB2"/>
    <w:rsid w:val="0043587B"/>
    <w:rsid w:val="00442713"/>
    <w:rsid w:val="0044423A"/>
    <w:rsid w:val="004456DB"/>
    <w:rsid w:val="00452E29"/>
    <w:rsid w:val="00455F5F"/>
    <w:rsid w:val="00456CB6"/>
    <w:rsid w:val="004625FB"/>
    <w:rsid w:val="00462BE4"/>
    <w:rsid w:val="00463608"/>
    <w:rsid w:val="00464EA7"/>
    <w:rsid w:val="00465AAB"/>
    <w:rsid w:val="00467C65"/>
    <w:rsid w:val="004709C6"/>
    <w:rsid w:val="00471071"/>
    <w:rsid w:val="00472EB2"/>
    <w:rsid w:val="0047356D"/>
    <w:rsid w:val="00474166"/>
    <w:rsid w:val="00476BAD"/>
    <w:rsid w:val="00480136"/>
    <w:rsid w:val="00482360"/>
    <w:rsid w:val="00482384"/>
    <w:rsid w:val="0048361B"/>
    <w:rsid w:val="00486C10"/>
    <w:rsid w:val="00490D55"/>
    <w:rsid w:val="0049193A"/>
    <w:rsid w:val="00492427"/>
    <w:rsid w:val="0049257F"/>
    <w:rsid w:val="00493264"/>
    <w:rsid w:val="00494C63"/>
    <w:rsid w:val="00495E82"/>
    <w:rsid w:val="00495FC2"/>
    <w:rsid w:val="00495FF9"/>
    <w:rsid w:val="004A1B4D"/>
    <w:rsid w:val="004A590A"/>
    <w:rsid w:val="004A62DD"/>
    <w:rsid w:val="004A641A"/>
    <w:rsid w:val="004A647B"/>
    <w:rsid w:val="004A7511"/>
    <w:rsid w:val="004B089E"/>
    <w:rsid w:val="004B1C34"/>
    <w:rsid w:val="004B4974"/>
    <w:rsid w:val="004C047A"/>
    <w:rsid w:val="004C1B02"/>
    <w:rsid w:val="004C229A"/>
    <w:rsid w:val="004C2FC2"/>
    <w:rsid w:val="004C3440"/>
    <w:rsid w:val="004C3D51"/>
    <w:rsid w:val="004D0A98"/>
    <w:rsid w:val="004D2E67"/>
    <w:rsid w:val="004D387D"/>
    <w:rsid w:val="004D435E"/>
    <w:rsid w:val="004D73AC"/>
    <w:rsid w:val="004E047D"/>
    <w:rsid w:val="004E3089"/>
    <w:rsid w:val="004E3440"/>
    <w:rsid w:val="004E60C5"/>
    <w:rsid w:val="004E672B"/>
    <w:rsid w:val="004E6A69"/>
    <w:rsid w:val="004F2D60"/>
    <w:rsid w:val="004F3114"/>
    <w:rsid w:val="004F4DD7"/>
    <w:rsid w:val="004F7806"/>
    <w:rsid w:val="004F792C"/>
    <w:rsid w:val="004F7BC3"/>
    <w:rsid w:val="0050040C"/>
    <w:rsid w:val="005017EE"/>
    <w:rsid w:val="00503E64"/>
    <w:rsid w:val="005071D1"/>
    <w:rsid w:val="005076EB"/>
    <w:rsid w:val="00512CA2"/>
    <w:rsid w:val="00524955"/>
    <w:rsid w:val="00525FA3"/>
    <w:rsid w:val="0052656A"/>
    <w:rsid w:val="0053285B"/>
    <w:rsid w:val="00534CC7"/>
    <w:rsid w:val="00535134"/>
    <w:rsid w:val="0053556A"/>
    <w:rsid w:val="005359A3"/>
    <w:rsid w:val="00535A82"/>
    <w:rsid w:val="00537E2F"/>
    <w:rsid w:val="00541E33"/>
    <w:rsid w:val="00541F37"/>
    <w:rsid w:val="005508F8"/>
    <w:rsid w:val="005513BE"/>
    <w:rsid w:val="0055193A"/>
    <w:rsid w:val="00554708"/>
    <w:rsid w:val="005558F7"/>
    <w:rsid w:val="0055658C"/>
    <w:rsid w:val="00557838"/>
    <w:rsid w:val="00560826"/>
    <w:rsid w:val="00562355"/>
    <w:rsid w:val="005624B7"/>
    <w:rsid w:val="0056397F"/>
    <w:rsid w:val="00565E04"/>
    <w:rsid w:val="0057078D"/>
    <w:rsid w:val="00573C7B"/>
    <w:rsid w:val="00574136"/>
    <w:rsid w:val="005751A8"/>
    <w:rsid w:val="005759AF"/>
    <w:rsid w:val="00576AD0"/>
    <w:rsid w:val="00577E07"/>
    <w:rsid w:val="00582282"/>
    <w:rsid w:val="00584965"/>
    <w:rsid w:val="00584DD5"/>
    <w:rsid w:val="005879C0"/>
    <w:rsid w:val="00591F18"/>
    <w:rsid w:val="00594235"/>
    <w:rsid w:val="00594351"/>
    <w:rsid w:val="00596148"/>
    <w:rsid w:val="0059639D"/>
    <w:rsid w:val="005973B0"/>
    <w:rsid w:val="005A0085"/>
    <w:rsid w:val="005A2AA9"/>
    <w:rsid w:val="005A5D68"/>
    <w:rsid w:val="005B3E75"/>
    <w:rsid w:val="005B5EB8"/>
    <w:rsid w:val="005B7D55"/>
    <w:rsid w:val="005C0224"/>
    <w:rsid w:val="005C0ED1"/>
    <w:rsid w:val="005C42D8"/>
    <w:rsid w:val="005C7015"/>
    <w:rsid w:val="005D030E"/>
    <w:rsid w:val="005D1167"/>
    <w:rsid w:val="005D7D2C"/>
    <w:rsid w:val="005E123F"/>
    <w:rsid w:val="005E1499"/>
    <w:rsid w:val="005E3068"/>
    <w:rsid w:val="005F25F5"/>
    <w:rsid w:val="005F48C3"/>
    <w:rsid w:val="005F4D5E"/>
    <w:rsid w:val="006006DC"/>
    <w:rsid w:val="00601184"/>
    <w:rsid w:val="00601EF8"/>
    <w:rsid w:val="006047A1"/>
    <w:rsid w:val="00605DEC"/>
    <w:rsid w:val="0060676F"/>
    <w:rsid w:val="00610822"/>
    <w:rsid w:val="006112C3"/>
    <w:rsid w:val="00613C12"/>
    <w:rsid w:val="00614DBD"/>
    <w:rsid w:val="00616D01"/>
    <w:rsid w:val="00617A56"/>
    <w:rsid w:val="006222EF"/>
    <w:rsid w:val="00623D30"/>
    <w:rsid w:val="00627230"/>
    <w:rsid w:val="0063076A"/>
    <w:rsid w:val="00632F7C"/>
    <w:rsid w:val="0063713E"/>
    <w:rsid w:val="0063713F"/>
    <w:rsid w:val="00637C14"/>
    <w:rsid w:val="006422F8"/>
    <w:rsid w:val="00643F9B"/>
    <w:rsid w:val="006462E4"/>
    <w:rsid w:val="00647DCC"/>
    <w:rsid w:val="006540A9"/>
    <w:rsid w:val="006545C5"/>
    <w:rsid w:val="006574C6"/>
    <w:rsid w:val="00664D1A"/>
    <w:rsid w:val="00664D40"/>
    <w:rsid w:val="00670897"/>
    <w:rsid w:val="00670F10"/>
    <w:rsid w:val="006711C1"/>
    <w:rsid w:val="00672252"/>
    <w:rsid w:val="00672C9D"/>
    <w:rsid w:val="00673331"/>
    <w:rsid w:val="0067539F"/>
    <w:rsid w:val="00675DF7"/>
    <w:rsid w:val="00675EE3"/>
    <w:rsid w:val="00677AE9"/>
    <w:rsid w:val="00677DB6"/>
    <w:rsid w:val="00681C33"/>
    <w:rsid w:val="00684212"/>
    <w:rsid w:val="00686D09"/>
    <w:rsid w:val="00687B8A"/>
    <w:rsid w:val="006921AA"/>
    <w:rsid w:val="00696562"/>
    <w:rsid w:val="00696953"/>
    <w:rsid w:val="006978C4"/>
    <w:rsid w:val="006A13B4"/>
    <w:rsid w:val="006A17F7"/>
    <w:rsid w:val="006A4439"/>
    <w:rsid w:val="006A7726"/>
    <w:rsid w:val="006B0459"/>
    <w:rsid w:val="006B2947"/>
    <w:rsid w:val="006B2C5A"/>
    <w:rsid w:val="006B487D"/>
    <w:rsid w:val="006C0AFC"/>
    <w:rsid w:val="006C24D9"/>
    <w:rsid w:val="006C2832"/>
    <w:rsid w:val="006C2CC6"/>
    <w:rsid w:val="006D08ED"/>
    <w:rsid w:val="006D312C"/>
    <w:rsid w:val="006D4611"/>
    <w:rsid w:val="006D4FB7"/>
    <w:rsid w:val="006D5892"/>
    <w:rsid w:val="006D61B2"/>
    <w:rsid w:val="006D7B49"/>
    <w:rsid w:val="006D7C22"/>
    <w:rsid w:val="006E2FC2"/>
    <w:rsid w:val="006F0A59"/>
    <w:rsid w:val="006F1377"/>
    <w:rsid w:val="006F3112"/>
    <w:rsid w:val="006F48BA"/>
    <w:rsid w:val="006F6169"/>
    <w:rsid w:val="006F66A9"/>
    <w:rsid w:val="006F6F2D"/>
    <w:rsid w:val="006F77BA"/>
    <w:rsid w:val="00705DA2"/>
    <w:rsid w:val="00706861"/>
    <w:rsid w:val="00715976"/>
    <w:rsid w:val="00716527"/>
    <w:rsid w:val="00717900"/>
    <w:rsid w:val="0072109B"/>
    <w:rsid w:val="00722C85"/>
    <w:rsid w:val="007251F7"/>
    <w:rsid w:val="00730142"/>
    <w:rsid w:val="00731CDC"/>
    <w:rsid w:val="00731E70"/>
    <w:rsid w:val="00737C7D"/>
    <w:rsid w:val="0074086C"/>
    <w:rsid w:val="007443DC"/>
    <w:rsid w:val="007449AA"/>
    <w:rsid w:val="00745106"/>
    <w:rsid w:val="007454D2"/>
    <w:rsid w:val="0074703D"/>
    <w:rsid w:val="007512D6"/>
    <w:rsid w:val="0075142E"/>
    <w:rsid w:val="00751C65"/>
    <w:rsid w:val="0075601A"/>
    <w:rsid w:val="007574F9"/>
    <w:rsid w:val="0076037C"/>
    <w:rsid w:val="00760AD1"/>
    <w:rsid w:val="00761952"/>
    <w:rsid w:val="0076344F"/>
    <w:rsid w:val="00764D93"/>
    <w:rsid w:val="00765105"/>
    <w:rsid w:val="00765271"/>
    <w:rsid w:val="00765D16"/>
    <w:rsid w:val="007664E3"/>
    <w:rsid w:val="00767A02"/>
    <w:rsid w:val="0077184A"/>
    <w:rsid w:val="00771869"/>
    <w:rsid w:val="00772293"/>
    <w:rsid w:val="007728E9"/>
    <w:rsid w:val="00772CB6"/>
    <w:rsid w:val="00772E7E"/>
    <w:rsid w:val="00774C02"/>
    <w:rsid w:val="0077591D"/>
    <w:rsid w:val="00777131"/>
    <w:rsid w:val="00777530"/>
    <w:rsid w:val="0078277A"/>
    <w:rsid w:val="00783EEB"/>
    <w:rsid w:val="00787F33"/>
    <w:rsid w:val="007902DC"/>
    <w:rsid w:val="0079053C"/>
    <w:rsid w:val="007906A1"/>
    <w:rsid w:val="00794F63"/>
    <w:rsid w:val="00797A0D"/>
    <w:rsid w:val="007A02DD"/>
    <w:rsid w:val="007A07AE"/>
    <w:rsid w:val="007A6C2F"/>
    <w:rsid w:val="007A79B5"/>
    <w:rsid w:val="007B25D8"/>
    <w:rsid w:val="007B2A47"/>
    <w:rsid w:val="007B45AA"/>
    <w:rsid w:val="007B5AEE"/>
    <w:rsid w:val="007C01B4"/>
    <w:rsid w:val="007C504D"/>
    <w:rsid w:val="007C534C"/>
    <w:rsid w:val="007D148D"/>
    <w:rsid w:val="007D2C98"/>
    <w:rsid w:val="007D73D9"/>
    <w:rsid w:val="007E5115"/>
    <w:rsid w:val="007F239F"/>
    <w:rsid w:val="007F498A"/>
    <w:rsid w:val="007F4E86"/>
    <w:rsid w:val="00801D4A"/>
    <w:rsid w:val="008020B5"/>
    <w:rsid w:val="008033E2"/>
    <w:rsid w:val="00803460"/>
    <w:rsid w:val="008051AB"/>
    <w:rsid w:val="00805337"/>
    <w:rsid w:val="008100A0"/>
    <w:rsid w:val="008122BE"/>
    <w:rsid w:val="008128FB"/>
    <w:rsid w:val="00813954"/>
    <w:rsid w:val="00820656"/>
    <w:rsid w:val="00820D14"/>
    <w:rsid w:val="00821480"/>
    <w:rsid w:val="0082449F"/>
    <w:rsid w:val="008260EF"/>
    <w:rsid w:val="0082652D"/>
    <w:rsid w:val="00826EA1"/>
    <w:rsid w:val="00827EB6"/>
    <w:rsid w:val="00830435"/>
    <w:rsid w:val="00832D1B"/>
    <w:rsid w:val="00832DB5"/>
    <w:rsid w:val="00833176"/>
    <w:rsid w:val="00835040"/>
    <w:rsid w:val="00836B10"/>
    <w:rsid w:val="0084051D"/>
    <w:rsid w:val="00840EBE"/>
    <w:rsid w:val="008417E8"/>
    <w:rsid w:val="0084182E"/>
    <w:rsid w:val="00842306"/>
    <w:rsid w:val="008427E6"/>
    <w:rsid w:val="00846729"/>
    <w:rsid w:val="00851BDC"/>
    <w:rsid w:val="00855706"/>
    <w:rsid w:val="0085771A"/>
    <w:rsid w:val="00861780"/>
    <w:rsid w:val="00862D0F"/>
    <w:rsid w:val="00862DB1"/>
    <w:rsid w:val="00863BBC"/>
    <w:rsid w:val="00867949"/>
    <w:rsid w:val="00876024"/>
    <w:rsid w:val="008806FE"/>
    <w:rsid w:val="008816E3"/>
    <w:rsid w:val="008817C3"/>
    <w:rsid w:val="00881B3F"/>
    <w:rsid w:val="00882429"/>
    <w:rsid w:val="00885A0A"/>
    <w:rsid w:val="00887144"/>
    <w:rsid w:val="008946B7"/>
    <w:rsid w:val="008958CD"/>
    <w:rsid w:val="00896709"/>
    <w:rsid w:val="00897E2A"/>
    <w:rsid w:val="008A1868"/>
    <w:rsid w:val="008A2883"/>
    <w:rsid w:val="008A64F0"/>
    <w:rsid w:val="008A7AD3"/>
    <w:rsid w:val="008B147E"/>
    <w:rsid w:val="008B2045"/>
    <w:rsid w:val="008B2657"/>
    <w:rsid w:val="008B32FC"/>
    <w:rsid w:val="008B6ECB"/>
    <w:rsid w:val="008C3780"/>
    <w:rsid w:val="008C45CE"/>
    <w:rsid w:val="008C5F37"/>
    <w:rsid w:val="008D0BE0"/>
    <w:rsid w:val="008D1108"/>
    <w:rsid w:val="008D39A6"/>
    <w:rsid w:val="008E1389"/>
    <w:rsid w:val="008E200D"/>
    <w:rsid w:val="008E2D98"/>
    <w:rsid w:val="008E35FD"/>
    <w:rsid w:val="008E3EE6"/>
    <w:rsid w:val="008E699A"/>
    <w:rsid w:val="008E6F81"/>
    <w:rsid w:val="008F56C1"/>
    <w:rsid w:val="00903711"/>
    <w:rsid w:val="00903A68"/>
    <w:rsid w:val="00912991"/>
    <w:rsid w:val="00914D3D"/>
    <w:rsid w:val="00915D83"/>
    <w:rsid w:val="00921D97"/>
    <w:rsid w:val="00921DB4"/>
    <w:rsid w:val="00923BD7"/>
    <w:rsid w:val="00932A54"/>
    <w:rsid w:val="00937629"/>
    <w:rsid w:val="0094009C"/>
    <w:rsid w:val="00941544"/>
    <w:rsid w:val="00941E3E"/>
    <w:rsid w:val="00943089"/>
    <w:rsid w:val="00943494"/>
    <w:rsid w:val="009466E5"/>
    <w:rsid w:val="00955A7E"/>
    <w:rsid w:val="00957334"/>
    <w:rsid w:val="00960E7C"/>
    <w:rsid w:val="00961281"/>
    <w:rsid w:val="0096206F"/>
    <w:rsid w:val="00964AEA"/>
    <w:rsid w:val="009655E8"/>
    <w:rsid w:val="0096590F"/>
    <w:rsid w:val="00966322"/>
    <w:rsid w:val="00967643"/>
    <w:rsid w:val="009816DF"/>
    <w:rsid w:val="00984348"/>
    <w:rsid w:val="009853E0"/>
    <w:rsid w:val="00987DC3"/>
    <w:rsid w:val="00990A24"/>
    <w:rsid w:val="00992DDD"/>
    <w:rsid w:val="00996B37"/>
    <w:rsid w:val="00996C6E"/>
    <w:rsid w:val="009A0439"/>
    <w:rsid w:val="009A796E"/>
    <w:rsid w:val="009B1005"/>
    <w:rsid w:val="009B2F51"/>
    <w:rsid w:val="009B62B7"/>
    <w:rsid w:val="009C389B"/>
    <w:rsid w:val="009D1DE8"/>
    <w:rsid w:val="009D30C1"/>
    <w:rsid w:val="009D3AF4"/>
    <w:rsid w:val="009D5574"/>
    <w:rsid w:val="009D678B"/>
    <w:rsid w:val="009D7F28"/>
    <w:rsid w:val="009E0592"/>
    <w:rsid w:val="009E6334"/>
    <w:rsid w:val="009F72B7"/>
    <w:rsid w:val="009F7D88"/>
    <w:rsid w:val="00A042D1"/>
    <w:rsid w:val="00A04687"/>
    <w:rsid w:val="00A06659"/>
    <w:rsid w:val="00A07A41"/>
    <w:rsid w:val="00A07DC6"/>
    <w:rsid w:val="00A10CF8"/>
    <w:rsid w:val="00A10F90"/>
    <w:rsid w:val="00A11151"/>
    <w:rsid w:val="00A14012"/>
    <w:rsid w:val="00A14B98"/>
    <w:rsid w:val="00A15376"/>
    <w:rsid w:val="00A1676B"/>
    <w:rsid w:val="00A16EB4"/>
    <w:rsid w:val="00A20C36"/>
    <w:rsid w:val="00A20CB3"/>
    <w:rsid w:val="00A222C5"/>
    <w:rsid w:val="00A22930"/>
    <w:rsid w:val="00A25B97"/>
    <w:rsid w:val="00A30415"/>
    <w:rsid w:val="00A30BD9"/>
    <w:rsid w:val="00A3712C"/>
    <w:rsid w:val="00A3782A"/>
    <w:rsid w:val="00A41EE8"/>
    <w:rsid w:val="00A45C47"/>
    <w:rsid w:val="00A46CC1"/>
    <w:rsid w:val="00A47004"/>
    <w:rsid w:val="00A51E87"/>
    <w:rsid w:val="00A5230A"/>
    <w:rsid w:val="00A530EF"/>
    <w:rsid w:val="00A53116"/>
    <w:rsid w:val="00A5790C"/>
    <w:rsid w:val="00A61E26"/>
    <w:rsid w:val="00A622BD"/>
    <w:rsid w:val="00A70786"/>
    <w:rsid w:val="00A71A5B"/>
    <w:rsid w:val="00A7207F"/>
    <w:rsid w:val="00A72AF9"/>
    <w:rsid w:val="00A74A09"/>
    <w:rsid w:val="00A7506A"/>
    <w:rsid w:val="00A759D1"/>
    <w:rsid w:val="00A75FEA"/>
    <w:rsid w:val="00A76FC2"/>
    <w:rsid w:val="00A7729C"/>
    <w:rsid w:val="00A808B0"/>
    <w:rsid w:val="00A81420"/>
    <w:rsid w:val="00A81ADF"/>
    <w:rsid w:val="00A82815"/>
    <w:rsid w:val="00A83549"/>
    <w:rsid w:val="00A83F1D"/>
    <w:rsid w:val="00A90795"/>
    <w:rsid w:val="00A92A77"/>
    <w:rsid w:val="00A93733"/>
    <w:rsid w:val="00A941E4"/>
    <w:rsid w:val="00A949C4"/>
    <w:rsid w:val="00AA3BFA"/>
    <w:rsid w:val="00AA50DE"/>
    <w:rsid w:val="00AB1399"/>
    <w:rsid w:val="00AB2BA7"/>
    <w:rsid w:val="00AB493F"/>
    <w:rsid w:val="00AB5E97"/>
    <w:rsid w:val="00AC0C01"/>
    <w:rsid w:val="00AC33A9"/>
    <w:rsid w:val="00AC655E"/>
    <w:rsid w:val="00AD04A2"/>
    <w:rsid w:val="00AD1160"/>
    <w:rsid w:val="00AD3AEA"/>
    <w:rsid w:val="00AD3F34"/>
    <w:rsid w:val="00AD4497"/>
    <w:rsid w:val="00AD4D0A"/>
    <w:rsid w:val="00AD548E"/>
    <w:rsid w:val="00AD57FE"/>
    <w:rsid w:val="00AD7A4B"/>
    <w:rsid w:val="00AE18FB"/>
    <w:rsid w:val="00AE2811"/>
    <w:rsid w:val="00AE57C0"/>
    <w:rsid w:val="00AE7708"/>
    <w:rsid w:val="00AF183C"/>
    <w:rsid w:val="00AF29A3"/>
    <w:rsid w:val="00AF2A95"/>
    <w:rsid w:val="00AF3D10"/>
    <w:rsid w:val="00AF616D"/>
    <w:rsid w:val="00AF6838"/>
    <w:rsid w:val="00AF7B1B"/>
    <w:rsid w:val="00B0157D"/>
    <w:rsid w:val="00B01C83"/>
    <w:rsid w:val="00B01F21"/>
    <w:rsid w:val="00B043AE"/>
    <w:rsid w:val="00B044D3"/>
    <w:rsid w:val="00B14C2E"/>
    <w:rsid w:val="00B14FBA"/>
    <w:rsid w:val="00B2168A"/>
    <w:rsid w:val="00B2337B"/>
    <w:rsid w:val="00B2530A"/>
    <w:rsid w:val="00B31B2F"/>
    <w:rsid w:val="00B31FE6"/>
    <w:rsid w:val="00B3436E"/>
    <w:rsid w:val="00B4036D"/>
    <w:rsid w:val="00B409EA"/>
    <w:rsid w:val="00B40EA2"/>
    <w:rsid w:val="00B42649"/>
    <w:rsid w:val="00B4295D"/>
    <w:rsid w:val="00B43B04"/>
    <w:rsid w:val="00B47117"/>
    <w:rsid w:val="00B478F2"/>
    <w:rsid w:val="00B51BAF"/>
    <w:rsid w:val="00B528F8"/>
    <w:rsid w:val="00B53B2A"/>
    <w:rsid w:val="00B56572"/>
    <w:rsid w:val="00B56B42"/>
    <w:rsid w:val="00B5751F"/>
    <w:rsid w:val="00B60566"/>
    <w:rsid w:val="00B6081B"/>
    <w:rsid w:val="00B6142C"/>
    <w:rsid w:val="00B63D75"/>
    <w:rsid w:val="00B67B12"/>
    <w:rsid w:val="00B71762"/>
    <w:rsid w:val="00B717A3"/>
    <w:rsid w:val="00B721B5"/>
    <w:rsid w:val="00B7488B"/>
    <w:rsid w:val="00B74B4C"/>
    <w:rsid w:val="00B75B81"/>
    <w:rsid w:val="00B80ECC"/>
    <w:rsid w:val="00B81B8D"/>
    <w:rsid w:val="00B83837"/>
    <w:rsid w:val="00B83F4C"/>
    <w:rsid w:val="00B85551"/>
    <w:rsid w:val="00B85627"/>
    <w:rsid w:val="00B865C3"/>
    <w:rsid w:val="00B8727A"/>
    <w:rsid w:val="00B91D82"/>
    <w:rsid w:val="00B94113"/>
    <w:rsid w:val="00B94C5F"/>
    <w:rsid w:val="00B96E32"/>
    <w:rsid w:val="00B976AF"/>
    <w:rsid w:val="00BA3CE1"/>
    <w:rsid w:val="00BA64F8"/>
    <w:rsid w:val="00BA7D4E"/>
    <w:rsid w:val="00BB7C17"/>
    <w:rsid w:val="00BC1998"/>
    <w:rsid w:val="00BC2594"/>
    <w:rsid w:val="00BC44F7"/>
    <w:rsid w:val="00BC4FD7"/>
    <w:rsid w:val="00BC5478"/>
    <w:rsid w:val="00BD1CB0"/>
    <w:rsid w:val="00BD2815"/>
    <w:rsid w:val="00BD4182"/>
    <w:rsid w:val="00BD5466"/>
    <w:rsid w:val="00BD6FBB"/>
    <w:rsid w:val="00BD7D9D"/>
    <w:rsid w:val="00BE1A7D"/>
    <w:rsid w:val="00BE2535"/>
    <w:rsid w:val="00BE623B"/>
    <w:rsid w:val="00BF0548"/>
    <w:rsid w:val="00BF1B87"/>
    <w:rsid w:val="00BF64ED"/>
    <w:rsid w:val="00C02243"/>
    <w:rsid w:val="00C0643B"/>
    <w:rsid w:val="00C06B6C"/>
    <w:rsid w:val="00C06C6F"/>
    <w:rsid w:val="00C0757C"/>
    <w:rsid w:val="00C10489"/>
    <w:rsid w:val="00C123D5"/>
    <w:rsid w:val="00C15559"/>
    <w:rsid w:val="00C20C91"/>
    <w:rsid w:val="00C21F20"/>
    <w:rsid w:val="00C23017"/>
    <w:rsid w:val="00C25553"/>
    <w:rsid w:val="00C273BC"/>
    <w:rsid w:val="00C331B0"/>
    <w:rsid w:val="00C342DE"/>
    <w:rsid w:val="00C35A8D"/>
    <w:rsid w:val="00C40ECB"/>
    <w:rsid w:val="00C50A40"/>
    <w:rsid w:val="00C54C2F"/>
    <w:rsid w:val="00C56696"/>
    <w:rsid w:val="00C5790F"/>
    <w:rsid w:val="00C643EF"/>
    <w:rsid w:val="00C67FD4"/>
    <w:rsid w:val="00C70C79"/>
    <w:rsid w:val="00C733B5"/>
    <w:rsid w:val="00C73540"/>
    <w:rsid w:val="00C73F96"/>
    <w:rsid w:val="00C74320"/>
    <w:rsid w:val="00C74946"/>
    <w:rsid w:val="00C749B8"/>
    <w:rsid w:val="00C85530"/>
    <w:rsid w:val="00C85F9B"/>
    <w:rsid w:val="00C871C3"/>
    <w:rsid w:val="00C90E54"/>
    <w:rsid w:val="00C93B96"/>
    <w:rsid w:val="00C942CE"/>
    <w:rsid w:val="00C94DAE"/>
    <w:rsid w:val="00C9777E"/>
    <w:rsid w:val="00C97FD4"/>
    <w:rsid w:val="00CA1716"/>
    <w:rsid w:val="00CA71EA"/>
    <w:rsid w:val="00CB3B96"/>
    <w:rsid w:val="00CB472E"/>
    <w:rsid w:val="00CB4747"/>
    <w:rsid w:val="00CB4812"/>
    <w:rsid w:val="00CC2B14"/>
    <w:rsid w:val="00CC3508"/>
    <w:rsid w:val="00CD324F"/>
    <w:rsid w:val="00CD3B03"/>
    <w:rsid w:val="00CD458D"/>
    <w:rsid w:val="00CE0491"/>
    <w:rsid w:val="00CE3B72"/>
    <w:rsid w:val="00CE3F8E"/>
    <w:rsid w:val="00CE57C6"/>
    <w:rsid w:val="00CE5AC4"/>
    <w:rsid w:val="00CE770D"/>
    <w:rsid w:val="00CF063A"/>
    <w:rsid w:val="00CF42C7"/>
    <w:rsid w:val="00CF5DC9"/>
    <w:rsid w:val="00CF6D0F"/>
    <w:rsid w:val="00D01616"/>
    <w:rsid w:val="00D0643A"/>
    <w:rsid w:val="00D06BEB"/>
    <w:rsid w:val="00D06EA0"/>
    <w:rsid w:val="00D07DF1"/>
    <w:rsid w:val="00D10BB4"/>
    <w:rsid w:val="00D117FF"/>
    <w:rsid w:val="00D13278"/>
    <w:rsid w:val="00D1341F"/>
    <w:rsid w:val="00D23650"/>
    <w:rsid w:val="00D24807"/>
    <w:rsid w:val="00D27070"/>
    <w:rsid w:val="00D30776"/>
    <w:rsid w:val="00D34781"/>
    <w:rsid w:val="00D3532E"/>
    <w:rsid w:val="00D4155B"/>
    <w:rsid w:val="00D46907"/>
    <w:rsid w:val="00D50811"/>
    <w:rsid w:val="00D523BE"/>
    <w:rsid w:val="00D55752"/>
    <w:rsid w:val="00D56364"/>
    <w:rsid w:val="00D6155C"/>
    <w:rsid w:val="00D741F9"/>
    <w:rsid w:val="00D758B9"/>
    <w:rsid w:val="00D7601F"/>
    <w:rsid w:val="00D7701E"/>
    <w:rsid w:val="00D775D8"/>
    <w:rsid w:val="00D779AD"/>
    <w:rsid w:val="00D77B75"/>
    <w:rsid w:val="00D85CFF"/>
    <w:rsid w:val="00D8722C"/>
    <w:rsid w:val="00D90856"/>
    <w:rsid w:val="00D91618"/>
    <w:rsid w:val="00D973B2"/>
    <w:rsid w:val="00DA1A2A"/>
    <w:rsid w:val="00DA4A4C"/>
    <w:rsid w:val="00DA68F6"/>
    <w:rsid w:val="00DB089A"/>
    <w:rsid w:val="00DB3E43"/>
    <w:rsid w:val="00DB5F75"/>
    <w:rsid w:val="00DB7ACD"/>
    <w:rsid w:val="00DC2D7E"/>
    <w:rsid w:val="00DC3A2E"/>
    <w:rsid w:val="00DE35ED"/>
    <w:rsid w:val="00DE64B6"/>
    <w:rsid w:val="00DF0D92"/>
    <w:rsid w:val="00DF179C"/>
    <w:rsid w:val="00DF3A6D"/>
    <w:rsid w:val="00DF6013"/>
    <w:rsid w:val="00DF74B0"/>
    <w:rsid w:val="00E00E21"/>
    <w:rsid w:val="00E047FC"/>
    <w:rsid w:val="00E04BE9"/>
    <w:rsid w:val="00E06720"/>
    <w:rsid w:val="00E131FF"/>
    <w:rsid w:val="00E13287"/>
    <w:rsid w:val="00E215CD"/>
    <w:rsid w:val="00E249CF"/>
    <w:rsid w:val="00E30DB5"/>
    <w:rsid w:val="00E36A71"/>
    <w:rsid w:val="00E36B6F"/>
    <w:rsid w:val="00E4082E"/>
    <w:rsid w:val="00E41F62"/>
    <w:rsid w:val="00E452C2"/>
    <w:rsid w:val="00E479BE"/>
    <w:rsid w:val="00E512CC"/>
    <w:rsid w:val="00E5191F"/>
    <w:rsid w:val="00E53544"/>
    <w:rsid w:val="00E5387D"/>
    <w:rsid w:val="00E53955"/>
    <w:rsid w:val="00E53ACE"/>
    <w:rsid w:val="00E56A95"/>
    <w:rsid w:val="00E57783"/>
    <w:rsid w:val="00E57BA8"/>
    <w:rsid w:val="00E619EA"/>
    <w:rsid w:val="00E62075"/>
    <w:rsid w:val="00E625D3"/>
    <w:rsid w:val="00E64BF7"/>
    <w:rsid w:val="00E71CC3"/>
    <w:rsid w:val="00E725A6"/>
    <w:rsid w:val="00E72EE8"/>
    <w:rsid w:val="00E73C14"/>
    <w:rsid w:val="00E75440"/>
    <w:rsid w:val="00E809F8"/>
    <w:rsid w:val="00E820CE"/>
    <w:rsid w:val="00E83FD7"/>
    <w:rsid w:val="00E84568"/>
    <w:rsid w:val="00E85212"/>
    <w:rsid w:val="00E91E34"/>
    <w:rsid w:val="00E95A19"/>
    <w:rsid w:val="00EA3D7D"/>
    <w:rsid w:val="00EA4DFB"/>
    <w:rsid w:val="00EB186F"/>
    <w:rsid w:val="00EB5F08"/>
    <w:rsid w:val="00EB76F1"/>
    <w:rsid w:val="00EC1FE9"/>
    <w:rsid w:val="00EC419F"/>
    <w:rsid w:val="00EC4BF1"/>
    <w:rsid w:val="00EC54B5"/>
    <w:rsid w:val="00EC5BF5"/>
    <w:rsid w:val="00ED3506"/>
    <w:rsid w:val="00ED42F6"/>
    <w:rsid w:val="00ED44FA"/>
    <w:rsid w:val="00EE08BF"/>
    <w:rsid w:val="00EE12E0"/>
    <w:rsid w:val="00EE520D"/>
    <w:rsid w:val="00EE6A4E"/>
    <w:rsid w:val="00EF05B2"/>
    <w:rsid w:val="00EF2B2F"/>
    <w:rsid w:val="00EF5C53"/>
    <w:rsid w:val="00EF76CE"/>
    <w:rsid w:val="00EF784E"/>
    <w:rsid w:val="00EF7CFB"/>
    <w:rsid w:val="00F00487"/>
    <w:rsid w:val="00F00846"/>
    <w:rsid w:val="00F014BB"/>
    <w:rsid w:val="00F0151D"/>
    <w:rsid w:val="00F02370"/>
    <w:rsid w:val="00F03C2C"/>
    <w:rsid w:val="00F05046"/>
    <w:rsid w:val="00F107C9"/>
    <w:rsid w:val="00F113E9"/>
    <w:rsid w:val="00F12776"/>
    <w:rsid w:val="00F16BD3"/>
    <w:rsid w:val="00F208C5"/>
    <w:rsid w:val="00F24FB0"/>
    <w:rsid w:val="00F2612F"/>
    <w:rsid w:val="00F27A0B"/>
    <w:rsid w:val="00F307FA"/>
    <w:rsid w:val="00F308F6"/>
    <w:rsid w:val="00F31EA2"/>
    <w:rsid w:val="00F32200"/>
    <w:rsid w:val="00F32D01"/>
    <w:rsid w:val="00F3740B"/>
    <w:rsid w:val="00F40920"/>
    <w:rsid w:val="00F427DE"/>
    <w:rsid w:val="00F42DB7"/>
    <w:rsid w:val="00F4350B"/>
    <w:rsid w:val="00F45F64"/>
    <w:rsid w:val="00F53094"/>
    <w:rsid w:val="00F542E8"/>
    <w:rsid w:val="00F549CE"/>
    <w:rsid w:val="00F562B9"/>
    <w:rsid w:val="00F56FEA"/>
    <w:rsid w:val="00F61D98"/>
    <w:rsid w:val="00F63E9D"/>
    <w:rsid w:val="00F70088"/>
    <w:rsid w:val="00F72012"/>
    <w:rsid w:val="00F725F2"/>
    <w:rsid w:val="00F75CE5"/>
    <w:rsid w:val="00F8038E"/>
    <w:rsid w:val="00F8491A"/>
    <w:rsid w:val="00F85795"/>
    <w:rsid w:val="00F858AD"/>
    <w:rsid w:val="00F906D0"/>
    <w:rsid w:val="00F90FB9"/>
    <w:rsid w:val="00F913AC"/>
    <w:rsid w:val="00F971C1"/>
    <w:rsid w:val="00FA1284"/>
    <w:rsid w:val="00FA1E02"/>
    <w:rsid w:val="00FA2335"/>
    <w:rsid w:val="00FA349F"/>
    <w:rsid w:val="00FA3B8E"/>
    <w:rsid w:val="00FB0D03"/>
    <w:rsid w:val="00FB0DFB"/>
    <w:rsid w:val="00FB19D6"/>
    <w:rsid w:val="00FB46F6"/>
    <w:rsid w:val="00FB48F0"/>
    <w:rsid w:val="00FB6129"/>
    <w:rsid w:val="00FB79E3"/>
    <w:rsid w:val="00FC03D1"/>
    <w:rsid w:val="00FC27B7"/>
    <w:rsid w:val="00FC3989"/>
    <w:rsid w:val="00FC4CE8"/>
    <w:rsid w:val="00FC5C8F"/>
    <w:rsid w:val="00FC6D92"/>
    <w:rsid w:val="00FD1207"/>
    <w:rsid w:val="00FD3DEC"/>
    <w:rsid w:val="00FD4DBD"/>
    <w:rsid w:val="00FD5391"/>
    <w:rsid w:val="00FD6C72"/>
    <w:rsid w:val="00FD70B8"/>
    <w:rsid w:val="00FE67D4"/>
    <w:rsid w:val="00FF19AA"/>
    <w:rsid w:val="00FF2B7A"/>
    <w:rsid w:val="00FF46F8"/>
    <w:rsid w:val="00FF5687"/>
    <w:rsid w:val="01532727"/>
    <w:rsid w:val="01880ED4"/>
    <w:rsid w:val="01A13123"/>
    <w:rsid w:val="01D07A64"/>
    <w:rsid w:val="01DB09E4"/>
    <w:rsid w:val="01E6111C"/>
    <w:rsid w:val="027A3CDD"/>
    <w:rsid w:val="02BB68B3"/>
    <w:rsid w:val="02FE6DC0"/>
    <w:rsid w:val="03643960"/>
    <w:rsid w:val="038071CB"/>
    <w:rsid w:val="039F416C"/>
    <w:rsid w:val="03C3013B"/>
    <w:rsid w:val="03DB0629"/>
    <w:rsid w:val="04106830"/>
    <w:rsid w:val="04190FC9"/>
    <w:rsid w:val="04474797"/>
    <w:rsid w:val="045F7F76"/>
    <w:rsid w:val="048A36E2"/>
    <w:rsid w:val="0498370E"/>
    <w:rsid w:val="052A0796"/>
    <w:rsid w:val="0558240F"/>
    <w:rsid w:val="05DE0658"/>
    <w:rsid w:val="067C5C24"/>
    <w:rsid w:val="06B04854"/>
    <w:rsid w:val="0716496A"/>
    <w:rsid w:val="076638D7"/>
    <w:rsid w:val="07B42D51"/>
    <w:rsid w:val="07C365FE"/>
    <w:rsid w:val="07ED07DB"/>
    <w:rsid w:val="08A978D9"/>
    <w:rsid w:val="08D56B34"/>
    <w:rsid w:val="08F350D9"/>
    <w:rsid w:val="091A534D"/>
    <w:rsid w:val="091B5887"/>
    <w:rsid w:val="095530CB"/>
    <w:rsid w:val="09DD58C2"/>
    <w:rsid w:val="09EF30ED"/>
    <w:rsid w:val="09F1549F"/>
    <w:rsid w:val="0A2D4C6C"/>
    <w:rsid w:val="0A744E2D"/>
    <w:rsid w:val="0AA351FC"/>
    <w:rsid w:val="0AC901C8"/>
    <w:rsid w:val="0B720620"/>
    <w:rsid w:val="0B72584E"/>
    <w:rsid w:val="0BEC05C9"/>
    <w:rsid w:val="0C6457E0"/>
    <w:rsid w:val="0CA06D14"/>
    <w:rsid w:val="0D01663B"/>
    <w:rsid w:val="0D1F25C7"/>
    <w:rsid w:val="0D6475E4"/>
    <w:rsid w:val="0D6E405A"/>
    <w:rsid w:val="0DEB5B42"/>
    <w:rsid w:val="0EC05DC8"/>
    <w:rsid w:val="0F591AE8"/>
    <w:rsid w:val="107C4E34"/>
    <w:rsid w:val="10AD77D1"/>
    <w:rsid w:val="10B768D1"/>
    <w:rsid w:val="11404C92"/>
    <w:rsid w:val="11485698"/>
    <w:rsid w:val="114955FA"/>
    <w:rsid w:val="121170A1"/>
    <w:rsid w:val="12766CAE"/>
    <w:rsid w:val="12767DC1"/>
    <w:rsid w:val="12F66F2C"/>
    <w:rsid w:val="13040BC8"/>
    <w:rsid w:val="130B5496"/>
    <w:rsid w:val="134E6CE4"/>
    <w:rsid w:val="139E16B3"/>
    <w:rsid w:val="13C80D63"/>
    <w:rsid w:val="14202A19"/>
    <w:rsid w:val="142D3AC3"/>
    <w:rsid w:val="14546D28"/>
    <w:rsid w:val="14675A73"/>
    <w:rsid w:val="14B041EE"/>
    <w:rsid w:val="14CA4A7B"/>
    <w:rsid w:val="14D83A50"/>
    <w:rsid w:val="14F30930"/>
    <w:rsid w:val="152F183D"/>
    <w:rsid w:val="157023E3"/>
    <w:rsid w:val="159E475A"/>
    <w:rsid w:val="15D70C5B"/>
    <w:rsid w:val="162C5689"/>
    <w:rsid w:val="166E1803"/>
    <w:rsid w:val="16B92CDD"/>
    <w:rsid w:val="16DA143F"/>
    <w:rsid w:val="16DD60E5"/>
    <w:rsid w:val="17B53B31"/>
    <w:rsid w:val="17BA143F"/>
    <w:rsid w:val="18193EA3"/>
    <w:rsid w:val="1840521A"/>
    <w:rsid w:val="18826876"/>
    <w:rsid w:val="1883220F"/>
    <w:rsid w:val="18E10A5F"/>
    <w:rsid w:val="1989593F"/>
    <w:rsid w:val="19AC08C8"/>
    <w:rsid w:val="1A2A1AB1"/>
    <w:rsid w:val="1A3403C5"/>
    <w:rsid w:val="1AA1434D"/>
    <w:rsid w:val="1AAB78FA"/>
    <w:rsid w:val="1AB443EC"/>
    <w:rsid w:val="1AE956C9"/>
    <w:rsid w:val="1B260082"/>
    <w:rsid w:val="1B7508A5"/>
    <w:rsid w:val="1BA352A5"/>
    <w:rsid w:val="1BF9752E"/>
    <w:rsid w:val="1CE4495E"/>
    <w:rsid w:val="1CEF0260"/>
    <w:rsid w:val="1D0E6351"/>
    <w:rsid w:val="1D2E5475"/>
    <w:rsid w:val="1DAB45D5"/>
    <w:rsid w:val="1DFD4723"/>
    <w:rsid w:val="1EB8383C"/>
    <w:rsid w:val="1EBC5248"/>
    <w:rsid w:val="1F6C5191"/>
    <w:rsid w:val="1F7C5190"/>
    <w:rsid w:val="1FCA1A24"/>
    <w:rsid w:val="20371F6A"/>
    <w:rsid w:val="2040513F"/>
    <w:rsid w:val="207212F2"/>
    <w:rsid w:val="20760137"/>
    <w:rsid w:val="21035251"/>
    <w:rsid w:val="214F2973"/>
    <w:rsid w:val="2163121E"/>
    <w:rsid w:val="21E67167"/>
    <w:rsid w:val="221D5077"/>
    <w:rsid w:val="22234E68"/>
    <w:rsid w:val="22334C04"/>
    <w:rsid w:val="22380AA3"/>
    <w:rsid w:val="22573C2F"/>
    <w:rsid w:val="228839EA"/>
    <w:rsid w:val="229253F4"/>
    <w:rsid w:val="22B44B16"/>
    <w:rsid w:val="22D35197"/>
    <w:rsid w:val="231E2818"/>
    <w:rsid w:val="232242AC"/>
    <w:rsid w:val="2563056D"/>
    <w:rsid w:val="25967251"/>
    <w:rsid w:val="259B2D49"/>
    <w:rsid w:val="25FC74CB"/>
    <w:rsid w:val="26196475"/>
    <w:rsid w:val="2625180E"/>
    <w:rsid w:val="263C7317"/>
    <w:rsid w:val="265A7D55"/>
    <w:rsid w:val="26844FF9"/>
    <w:rsid w:val="26B946BC"/>
    <w:rsid w:val="27494CFD"/>
    <w:rsid w:val="2753186B"/>
    <w:rsid w:val="27676C03"/>
    <w:rsid w:val="2779328A"/>
    <w:rsid w:val="277D053D"/>
    <w:rsid w:val="27EE61E4"/>
    <w:rsid w:val="282A2F8D"/>
    <w:rsid w:val="289553A9"/>
    <w:rsid w:val="289E5D40"/>
    <w:rsid w:val="28A561C7"/>
    <w:rsid w:val="28DC2001"/>
    <w:rsid w:val="28F9707C"/>
    <w:rsid w:val="29DB2369"/>
    <w:rsid w:val="29FE2EC2"/>
    <w:rsid w:val="2A495871"/>
    <w:rsid w:val="2A8B4CC5"/>
    <w:rsid w:val="2AE374EB"/>
    <w:rsid w:val="2C0852B0"/>
    <w:rsid w:val="2C58724C"/>
    <w:rsid w:val="2C6A3B9C"/>
    <w:rsid w:val="2C704CFD"/>
    <w:rsid w:val="2CA947E5"/>
    <w:rsid w:val="2CA9587B"/>
    <w:rsid w:val="2CC31189"/>
    <w:rsid w:val="2D0C55EA"/>
    <w:rsid w:val="2D69277D"/>
    <w:rsid w:val="2D8C7BDB"/>
    <w:rsid w:val="2D9D76ED"/>
    <w:rsid w:val="2DB114F4"/>
    <w:rsid w:val="2DFB1443"/>
    <w:rsid w:val="2E0278CB"/>
    <w:rsid w:val="2E2E2F8C"/>
    <w:rsid w:val="2E403F30"/>
    <w:rsid w:val="2E76495E"/>
    <w:rsid w:val="2EA73762"/>
    <w:rsid w:val="2EB87050"/>
    <w:rsid w:val="2ECC7E61"/>
    <w:rsid w:val="2F132034"/>
    <w:rsid w:val="2F242EED"/>
    <w:rsid w:val="3021532F"/>
    <w:rsid w:val="309906E5"/>
    <w:rsid w:val="317B6F0F"/>
    <w:rsid w:val="318222CB"/>
    <w:rsid w:val="324F2EA3"/>
    <w:rsid w:val="32CA7266"/>
    <w:rsid w:val="32E95C72"/>
    <w:rsid w:val="33E5037A"/>
    <w:rsid w:val="34F860CC"/>
    <w:rsid w:val="34FF3F06"/>
    <w:rsid w:val="35180C3F"/>
    <w:rsid w:val="35236555"/>
    <w:rsid w:val="35254726"/>
    <w:rsid w:val="352738FD"/>
    <w:rsid w:val="359A6B7B"/>
    <w:rsid w:val="360F7EDE"/>
    <w:rsid w:val="362A651F"/>
    <w:rsid w:val="3638740A"/>
    <w:rsid w:val="36840BF3"/>
    <w:rsid w:val="369057A5"/>
    <w:rsid w:val="372C60E6"/>
    <w:rsid w:val="37425D3E"/>
    <w:rsid w:val="375E7097"/>
    <w:rsid w:val="376A7390"/>
    <w:rsid w:val="378A1CD0"/>
    <w:rsid w:val="37CE0E51"/>
    <w:rsid w:val="38162609"/>
    <w:rsid w:val="38323006"/>
    <w:rsid w:val="385C26A1"/>
    <w:rsid w:val="38776F16"/>
    <w:rsid w:val="389B233A"/>
    <w:rsid w:val="38BF0B7F"/>
    <w:rsid w:val="391714F6"/>
    <w:rsid w:val="392A328E"/>
    <w:rsid w:val="397C3770"/>
    <w:rsid w:val="39ED6EC2"/>
    <w:rsid w:val="39F93A9C"/>
    <w:rsid w:val="3B207D96"/>
    <w:rsid w:val="3BD42A09"/>
    <w:rsid w:val="3C380570"/>
    <w:rsid w:val="3C522566"/>
    <w:rsid w:val="3C5F6390"/>
    <w:rsid w:val="3C7C3367"/>
    <w:rsid w:val="3CB03193"/>
    <w:rsid w:val="3CB46D36"/>
    <w:rsid w:val="3CC70133"/>
    <w:rsid w:val="3D417A01"/>
    <w:rsid w:val="3D6B479A"/>
    <w:rsid w:val="3D6F4ED9"/>
    <w:rsid w:val="3DA4597D"/>
    <w:rsid w:val="3DC564E3"/>
    <w:rsid w:val="3DD25908"/>
    <w:rsid w:val="3E4E47F3"/>
    <w:rsid w:val="3ED10C26"/>
    <w:rsid w:val="3EF1250A"/>
    <w:rsid w:val="3F5F4F82"/>
    <w:rsid w:val="40152209"/>
    <w:rsid w:val="405F6850"/>
    <w:rsid w:val="4069519E"/>
    <w:rsid w:val="4072722C"/>
    <w:rsid w:val="40CA2DE4"/>
    <w:rsid w:val="40CC2951"/>
    <w:rsid w:val="40CF3203"/>
    <w:rsid w:val="40E47609"/>
    <w:rsid w:val="412A7027"/>
    <w:rsid w:val="415D0E95"/>
    <w:rsid w:val="41C56714"/>
    <w:rsid w:val="423C748C"/>
    <w:rsid w:val="424511E4"/>
    <w:rsid w:val="426167CD"/>
    <w:rsid w:val="42B4548D"/>
    <w:rsid w:val="42CF075D"/>
    <w:rsid w:val="43021BEE"/>
    <w:rsid w:val="43073B03"/>
    <w:rsid w:val="433712C6"/>
    <w:rsid w:val="4394721A"/>
    <w:rsid w:val="43B367DF"/>
    <w:rsid w:val="43CA073B"/>
    <w:rsid w:val="442C5D88"/>
    <w:rsid w:val="443F2DC1"/>
    <w:rsid w:val="44421B2F"/>
    <w:rsid w:val="44E36A61"/>
    <w:rsid w:val="450B3BFA"/>
    <w:rsid w:val="45104A10"/>
    <w:rsid w:val="4521362F"/>
    <w:rsid w:val="456F5D11"/>
    <w:rsid w:val="4585715A"/>
    <w:rsid w:val="458E5106"/>
    <w:rsid w:val="459E58DB"/>
    <w:rsid w:val="45B46D6D"/>
    <w:rsid w:val="46A92F31"/>
    <w:rsid w:val="470025BB"/>
    <w:rsid w:val="47073AFD"/>
    <w:rsid w:val="47264D1B"/>
    <w:rsid w:val="4737373F"/>
    <w:rsid w:val="4765682F"/>
    <w:rsid w:val="477D329F"/>
    <w:rsid w:val="47F82409"/>
    <w:rsid w:val="485E4529"/>
    <w:rsid w:val="48A02414"/>
    <w:rsid w:val="490E4ABF"/>
    <w:rsid w:val="49121BEA"/>
    <w:rsid w:val="4958153C"/>
    <w:rsid w:val="49C304DA"/>
    <w:rsid w:val="4A0D7BB9"/>
    <w:rsid w:val="4A344D66"/>
    <w:rsid w:val="4A4A0250"/>
    <w:rsid w:val="4A6D4ADE"/>
    <w:rsid w:val="4A7C7640"/>
    <w:rsid w:val="4A8C0759"/>
    <w:rsid w:val="4AB3104D"/>
    <w:rsid w:val="4B307389"/>
    <w:rsid w:val="4B815EFB"/>
    <w:rsid w:val="4BB85CF3"/>
    <w:rsid w:val="4BDE580E"/>
    <w:rsid w:val="4CA63703"/>
    <w:rsid w:val="4CBB0128"/>
    <w:rsid w:val="4D111EB4"/>
    <w:rsid w:val="4D4C6396"/>
    <w:rsid w:val="4E006AB9"/>
    <w:rsid w:val="4E6057AF"/>
    <w:rsid w:val="4E6A0447"/>
    <w:rsid w:val="4E8406E3"/>
    <w:rsid w:val="4EA90CEE"/>
    <w:rsid w:val="4EF966AF"/>
    <w:rsid w:val="4F1E45D9"/>
    <w:rsid w:val="4F21071D"/>
    <w:rsid w:val="4F4C1499"/>
    <w:rsid w:val="500B763A"/>
    <w:rsid w:val="50116EFF"/>
    <w:rsid w:val="50BC67C4"/>
    <w:rsid w:val="512C61C7"/>
    <w:rsid w:val="518B73FF"/>
    <w:rsid w:val="52401F17"/>
    <w:rsid w:val="5298299F"/>
    <w:rsid w:val="52D773BE"/>
    <w:rsid w:val="535854D4"/>
    <w:rsid w:val="538F0846"/>
    <w:rsid w:val="53BA0B68"/>
    <w:rsid w:val="54036BFA"/>
    <w:rsid w:val="542271EA"/>
    <w:rsid w:val="547E1AE3"/>
    <w:rsid w:val="54F527F1"/>
    <w:rsid w:val="55427386"/>
    <w:rsid w:val="5559788C"/>
    <w:rsid w:val="56734770"/>
    <w:rsid w:val="567E64FB"/>
    <w:rsid w:val="576B3441"/>
    <w:rsid w:val="57C21AEA"/>
    <w:rsid w:val="57E31B17"/>
    <w:rsid w:val="57FD2BED"/>
    <w:rsid w:val="581536AF"/>
    <w:rsid w:val="589C4E01"/>
    <w:rsid w:val="589E04B8"/>
    <w:rsid w:val="58AD362C"/>
    <w:rsid w:val="58CE1650"/>
    <w:rsid w:val="59527EE4"/>
    <w:rsid w:val="595753C5"/>
    <w:rsid w:val="595E723D"/>
    <w:rsid w:val="596514A4"/>
    <w:rsid w:val="59DA18E0"/>
    <w:rsid w:val="5A4526D1"/>
    <w:rsid w:val="5A9763F5"/>
    <w:rsid w:val="5AA35994"/>
    <w:rsid w:val="5BA5478B"/>
    <w:rsid w:val="5C165FD5"/>
    <w:rsid w:val="5CAC56D0"/>
    <w:rsid w:val="5CBF10FA"/>
    <w:rsid w:val="5D13042F"/>
    <w:rsid w:val="5D17501F"/>
    <w:rsid w:val="5D436A90"/>
    <w:rsid w:val="5D5B7BB8"/>
    <w:rsid w:val="5D966622"/>
    <w:rsid w:val="5DE65CC7"/>
    <w:rsid w:val="5DF95C6F"/>
    <w:rsid w:val="5E1D428F"/>
    <w:rsid w:val="5E2733EE"/>
    <w:rsid w:val="5E8B35F5"/>
    <w:rsid w:val="5ED67D55"/>
    <w:rsid w:val="5F192081"/>
    <w:rsid w:val="5F816364"/>
    <w:rsid w:val="5FE104CC"/>
    <w:rsid w:val="5FFE0EE5"/>
    <w:rsid w:val="613F058D"/>
    <w:rsid w:val="61981E71"/>
    <w:rsid w:val="623A4FEF"/>
    <w:rsid w:val="626D613C"/>
    <w:rsid w:val="62C61B62"/>
    <w:rsid w:val="62DA5DB8"/>
    <w:rsid w:val="632B3C27"/>
    <w:rsid w:val="636014EA"/>
    <w:rsid w:val="63633FAE"/>
    <w:rsid w:val="63F74FD6"/>
    <w:rsid w:val="64E61AB5"/>
    <w:rsid w:val="64E70B46"/>
    <w:rsid w:val="653E2E95"/>
    <w:rsid w:val="655F6DEC"/>
    <w:rsid w:val="65780B20"/>
    <w:rsid w:val="65824EBB"/>
    <w:rsid w:val="659B0224"/>
    <w:rsid w:val="65D846AB"/>
    <w:rsid w:val="65DA116B"/>
    <w:rsid w:val="66F00D0D"/>
    <w:rsid w:val="67144FCE"/>
    <w:rsid w:val="67715949"/>
    <w:rsid w:val="679313C0"/>
    <w:rsid w:val="67DC65BD"/>
    <w:rsid w:val="68356781"/>
    <w:rsid w:val="69964D8D"/>
    <w:rsid w:val="69AA116B"/>
    <w:rsid w:val="69B911B9"/>
    <w:rsid w:val="69FC0640"/>
    <w:rsid w:val="6A090C78"/>
    <w:rsid w:val="6A410CED"/>
    <w:rsid w:val="6A6D0B4D"/>
    <w:rsid w:val="6A7A2840"/>
    <w:rsid w:val="6B0C7340"/>
    <w:rsid w:val="6B44535D"/>
    <w:rsid w:val="6B466CAA"/>
    <w:rsid w:val="6B573C05"/>
    <w:rsid w:val="6B6F3D83"/>
    <w:rsid w:val="6BE371BB"/>
    <w:rsid w:val="6BF77F47"/>
    <w:rsid w:val="6C021984"/>
    <w:rsid w:val="6C421519"/>
    <w:rsid w:val="6CD93511"/>
    <w:rsid w:val="6CDE7E55"/>
    <w:rsid w:val="6CE00D2A"/>
    <w:rsid w:val="6CE877EB"/>
    <w:rsid w:val="6D167303"/>
    <w:rsid w:val="6D2713B5"/>
    <w:rsid w:val="6D320AF2"/>
    <w:rsid w:val="6D8B5455"/>
    <w:rsid w:val="6DA76C69"/>
    <w:rsid w:val="6E046416"/>
    <w:rsid w:val="6E4C2B7C"/>
    <w:rsid w:val="6EA6211A"/>
    <w:rsid w:val="6EAC348F"/>
    <w:rsid w:val="6EC6055E"/>
    <w:rsid w:val="6EF61BB2"/>
    <w:rsid w:val="6EF92E48"/>
    <w:rsid w:val="6F874F81"/>
    <w:rsid w:val="71145A61"/>
    <w:rsid w:val="717A22AE"/>
    <w:rsid w:val="71A857D4"/>
    <w:rsid w:val="71E04837"/>
    <w:rsid w:val="720B39D5"/>
    <w:rsid w:val="72210127"/>
    <w:rsid w:val="72223F44"/>
    <w:rsid w:val="728968FE"/>
    <w:rsid w:val="72ED71AE"/>
    <w:rsid w:val="730F0178"/>
    <w:rsid w:val="733F55D4"/>
    <w:rsid w:val="73871E39"/>
    <w:rsid w:val="73AD6838"/>
    <w:rsid w:val="73B15865"/>
    <w:rsid w:val="73DC374A"/>
    <w:rsid w:val="755451C0"/>
    <w:rsid w:val="75951DEA"/>
    <w:rsid w:val="75C773CD"/>
    <w:rsid w:val="760950A3"/>
    <w:rsid w:val="76322413"/>
    <w:rsid w:val="76725683"/>
    <w:rsid w:val="769360DF"/>
    <w:rsid w:val="76AC7D68"/>
    <w:rsid w:val="76E66DB2"/>
    <w:rsid w:val="77323ED3"/>
    <w:rsid w:val="77442929"/>
    <w:rsid w:val="774455AD"/>
    <w:rsid w:val="77B4311F"/>
    <w:rsid w:val="77F2111C"/>
    <w:rsid w:val="78375E65"/>
    <w:rsid w:val="78472DD7"/>
    <w:rsid w:val="784A7FBA"/>
    <w:rsid w:val="78C41E55"/>
    <w:rsid w:val="78D06063"/>
    <w:rsid w:val="790136ED"/>
    <w:rsid w:val="79A93981"/>
    <w:rsid w:val="79F17C5B"/>
    <w:rsid w:val="7A0D4961"/>
    <w:rsid w:val="7A196ABD"/>
    <w:rsid w:val="7A1E1BC1"/>
    <w:rsid w:val="7A27429B"/>
    <w:rsid w:val="7A5732CC"/>
    <w:rsid w:val="7A93192A"/>
    <w:rsid w:val="7AF24FE9"/>
    <w:rsid w:val="7BB37A7B"/>
    <w:rsid w:val="7BB75F97"/>
    <w:rsid w:val="7BD6262B"/>
    <w:rsid w:val="7C191617"/>
    <w:rsid w:val="7C1D723A"/>
    <w:rsid w:val="7C2E777A"/>
    <w:rsid w:val="7C5D1AA7"/>
    <w:rsid w:val="7C6D05CF"/>
    <w:rsid w:val="7C833D01"/>
    <w:rsid w:val="7CA53F59"/>
    <w:rsid w:val="7CB41F41"/>
    <w:rsid w:val="7CB87A91"/>
    <w:rsid w:val="7CD0574D"/>
    <w:rsid w:val="7D3B67CB"/>
    <w:rsid w:val="7DFF69EE"/>
    <w:rsid w:val="7E041531"/>
    <w:rsid w:val="7E0F268D"/>
    <w:rsid w:val="7E300E25"/>
    <w:rsid w:val="7E540914"/>
    <w:rsid w:val="7E6A0619"/>
    <w:rsid w:val="7E931B03"/>
    <w:rsid w:val="7EB347F9"/>
    <w:rsid w:val="7ECD21B4"/>
    <w:rsid w:val="7ED4573A"/>
    <w:rsid w:val="7EE610D0"/>
    <w:rsid w:val="7F352625"/>
    <w:rsid w:val="7F4515EF"/>
    <w:rsid w:val="7F6A7FFE"/>
    <w:rsid w:val="7F936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szCs w:val="22"/>
    </w:rPr>
  </w:style>
  <w:style w:type="paragraph" w:styleId="4">
    <w:name w:val="heading 2"/>
    <w:basedOn w:val="1"/>
    <w:next w:val="1"/>
    <w:qFormat/>
    <w:uiPriority w:val="0"/>
    <w:pPr>
      <w:keepNext/>
      <w:keepLines/>
      <w:spacing w:before="260" w:after="260" w:line="416" w:lineRule="auto"/>
      <w:outlineLvl w:val="1"/>
    </w:pPr>
    <w:rPr>
      <w:rFonts w:ascii="Cambria" w:hAnsi="Cambria" w:cs="黑体"/>
      <w:b/>
      <w:bCs/>
      <w:kern w:val="0"/>
      <w:sz w:val="32"/>
      <w:szCs w:val="32"/>
    </w:rPr>
  </w:style>
  <w:style w:type="paragraph" w:styleId="2">
    <w:name w:val="heading 3"/>
    <w:basedOn w:val="1"/>
    <w:next w:val="1"/>
    <w:qFormat/>
    <w:uiPriority w:val="0"/>
    <w:pPr>
      <w:keepNext/>
      <w:keepLines/>
      <w:spacing w:line="413" w:lineRule="auto"/>
      <w:outlineLvl w:val="2"/>
    </w:pPr>
    <w:rPr>
      <w:b/>
      <w:sz w:val="28"/>
      <w:szCs w:val="2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2"/>
    <w:qFormat/>
    <w:uiPriority w:val="0"/>
    <w:pPr>
      <w:jc w:val="left"/>
    </w:pPr>
    <w:rPr>
      <w:szCs w:val="22"/>
    </w:rPr>
  </w:style>
  <w:style w:type="paragraph" w:styleId="6">
    <w:name w:val="Balloon Text"/>
    <w:basedOn w:val="1"/>
    <w:link w:val="25"/>
    <w:qFormat/>
    <w:uiPriority w:val="0"/>
    <w:rPr>
      <w:sz w:val="18"/>
      <w:szCs w:val="18"/>
    </w:rPr>
  </w:style>
  <w:style w:type="paragraph" w:styleId="7">
    <w:name w:val="footer"/>
    <w:basedOn w:val="1"/>
    <w:link w:val="26"/>
    <w:qFormat/>
    <w:uiPriority w:val="99"/>
    <w:pPr>
      <w:tabs>
        <w:tab w:val="center" w:pos="4153"/>
        <w:tab w:val="right" w:pos="8306"/>
      </w:tabs>
      <w:snapToGrid w:val="0"/>
      <w:jc w:val="left"/>
    </w:pPr>
    <w:rPr>
      <w:sz w:val="18"/>
      <w:szCs w:val="22"/>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22"/>
    </w:rPr>
  </w:style>
  <w:style w:type="paragraph" w:styleId="9">
    <w:name w:val="toc 1"/>
    <w:basedOn w:val="1"/>
    <w:next w:val="1"/>
    <w:qFormat/>
    <w:uiPriority w:val="39"/>
    <w:rPr>
      <w:szCs w:val="22"/>
    </w:rPr>
  </w:style>
  <w:style w:type="paragraph" w:styleId="10">
    <w:name w:val="footnote text"/>
    <w:basedOn w:val="1"/>
    <w:qFormat/>
    <w:uiPriority w:val="0"/>
    <w:pPr>
      <w:snapToGrid w:val="0"/>
      <w:jc w:val="left"/>
    </w:pPr>
    <w:rPr>
      <w:sz w:val="18"/>
      <w:szCs w:val="22"/>
    </w:rPr>
  </w:style>
  <w:style w:type="paragraph" w:styleId="11">
    <w:name w:val="toc 2"/>
    <w:basedOn w:val="1"/>
    <w:next w:val="1"/>
    <w:qFormat/>
    <w:uiPriority w:val="39"/>
    <w:pPr>
      <w:ind w:left="420" w:leftChars="200"/>
    </w:pPr>
    <w:rPr>
      <w:szCs w:val="22"/>
    </w:rPr>
  </w:style>
  <w:style w:type="paragraph" w:styleId="12">
    <w:name w:val="Title"/>
    <w:basedOn w:val="1"/>
    <w:next w:val="1"/>
    <w:qFormat/>
    <w:uiPriority w:val="99"/>
    <w:pPr>
      <w:widowControl/>
      <w:spacing w:before="240" w:after="60"/>
      <w:jc w:val="center"/>
      <w:outlineLvl w:val="0"/>
    </w:pPr>
    <w:rPr>
      <w:rFonts w:ascii="Cambria" w:hAnsi="Cambria"/>
      <w:b/>
      <w:bCs/>
      <w:kern w:val="28"/>
      <w:sz w:val="32"/>
      <w:szCs w:val="32"/>
    </w:rPr>
  </w:style>
  <w:style w:type="table" w:styleId="14">
    <w:name w:val="Table Grid"/>
    <w:basedOn w:val="13"/>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0"/>
    <w:rPr>
      <w:b/>
    </w:rPr>
  </w:style>
  <w:style w:type="character" w:styleId="17">
    <w:name w:val="FollowedHyperlink"/>
    <w:qFormat/>
    <w:uiPriority w:val="0"/>
    <w:rPr>
      <w:color w:val="000000"/>
      <w:u w:val="none"/>
    </w:rPr>
  </w:style>
  <w:style w:type="character" w:styleId="18">
    <w:name w:val="Emphasis"/>
    <w:qFormat/>
    <w:uiPriority w:val="0"/>
    <w:rPr>
      <w:i/>
    </w:rPr>
  </w:style>
  <w:style w:type="character" w:styleId="19">
    <w:name w:val="Hyperlink"/>
    <w:qFormat/>
    <w:uiPriority w:val="99"/>
    <w:rPr>
      <w:color w:val="000000"/>
      <w:u w:val="none"/>
    </w:rPr>
  </w:style>
  <w:style w:type="character" w:styleId="20">
    <w:name w:val="annotation reference"/>
    <w:basedOn w:val="15"/>
    <w:semiHidden/>
    <w:unhideWhenUsed/>
    <w:qFormat/>
    <w:uiPriority w:val="99"/>
    <w:rPr>
      <w:sz w:val="21"/>
      <w:szCs w:val="21"/>
    </w:rPr>
  </w:style>
  <w:style w:type="character" w:styleId="21">
    <w:name w:val="footnote reference"/>
    <w:qFormat/>
    <w:uiPriority w:val="0"/>
    <w:rPr>
      <w:vertAlign w:val="superscript"/>
    </w:rPr>
  </w:style>
  <w:style w:type="character" w:customStyle="1" w:styleId="22">
    <w:name w:val="批注文字 字符"/>
    <w:link w:val="5"/>
    <w:semiHidden/>
    <w:qFormat/>
    <w:uiPriority w:val="0"/>
    <w:rPr>
      <w:rFonts w:ascii="Calibri" w:hAnsi="Calibri"/>
      <w:kern w:val="2"/>
      <w:sz w:val="21"/>
      <w:szCs w:val="22"/>
    </w:rPr>
  </w:style>
  <w:style w:type="character" w:customStyle="1" w:styleId="23">
    <w:name w:val="文本块 Char"/>
    <w:link w:val="24"/>
    <w:semiHidden/>
    <w:qFormat/>
    <w:uiPriority w:val="0"/>
    <w:rPr>
      <w:rFonts w:ascii="等线" w:hAnsi="等线" w:eastAsia="等线" w:cs="黑体"/>
      <w:i/>
      <w:iCs/>
      <w:color w:val="3F3F3F"/>
      <w:kern w:val="2"/>
      <w:sz w:val="21"/>
      <w:szCs w:val="21"/>
    </w:rPr>
  </w:style>
  <w:style w:type="paragraph" w:customStyle="1" w:styleId="24">
    <w:name w:val="文本块1"/>
    <w:basedOn w:val="1"/>
    <w:next w:val="1"/>
    <w:link w:val="23"/>
    <w:qFormat/>
    <w:uiPriority w:val="0"/>
    <w:pPr>
      <w:spacing w:before="200" w:after="160"/>
      <w:ind w:left="864" w:right="864"/>
      <w:jc w:val="center"/>
    </w:pPr>
    <w:rPr>
      <w:rFonts w:ascii="等线" w:hAnsi="等线" w:eastAsia="等线" w:cs="黑体"/>
      <w:i/>
      <w:iCs/>
      <w:color w:val="3F3F3F"/>
    </w:rPr>
  </w:style>
  <w:style w:type="character" w:customStyle="1" w:styleId="25">
    <w:name w:val="批注框文本 字符1"/>
    <w:link w:val="6"/>
    <w:semiHidden/>
    <w:qFormat/>
    <w:uiPriority w:val="0"/>
    <w:rPr>
      <w:rFonts w:ascii="Calibri" w:hAnsi="Calibri"/>
      <w:kern w:val="2"/>
      <w:sz w:val="18"/>
      <w:szCs w:val="18"/>
    </w:rPr>
  </w:style>
  <w:style w:type="character" w:customStyle="1" w:styleId="26">
    <w:name w:val="页脚 字符"/>
    <w:link w:val="7"/>
    <w:qFormat/>
    <w:uiPriority w:val="99"/>
    <w:rPr>
      <w:rFonts w:ascii="Calibri" w:hAnsi="Calibri" w:eastAsia="宋体" w:cs="Times New Roman"/>
      <w:kern w:val="2"/>
      <w:sz w:val="18"/>
      <w:szCs w:val="22"/>
    </w:rPr>
  </w:style>
  <w:style w:type="paragraph" w:customStyle="1" w:styleId="27">
    <w:name w:val="批注框文本1"/>
    <w:basedOn w:val="1"/>
    <w:link w:val="73"/>
    <w:qFormat/>
    <w:uiPriority w:val="0"/>
    <w:rPr>
      <w:sz w:val="18"/>
      <w:szCs w:val="18"/>
    </w:rPr>
  </w:style>
  <w:style w:type="paragraph" w:customStyle="1" w:styleId="28">
    <w:name w:val="日期1"/>
    <w:basedOn w:val="1"/>
    <w:next w:val="1"/>
    <w:qFormat/>
    <w:uiPriority w:val="0"/>
    <w:pPr>
      <w:ind w:left="100" w:leftChars="2500"/>
    </w:pPr>
    <w:rPr>
      <w:rFonts w:ascii="Times New Roman" w:hAnsi="Times New Roman"/>
      <w:szCs w:val="24"/>
    </w:rPr>
  </w:style>
  <w:style w:type="paragraph" w:customStyle="1" w:styleId="29">
    <w:name w:val="普通(网站)1"/>
    <w:basedOn w:val="1"/>
    <w:qFormat/>
    <w:uiPriority w:val="0"/>
    <w:pPr>
      <w:spacing w:before="100" w:beforeAutospacing="1" w:after="100" w:afterAutospacing="1"/>
      <w:jc w:val="left"/>
    </w:pPr>
    <w:rPr>
      <w:kern w:val="0"/>
      <w:sz w:val="24"/>
      <w:szCs w:val="22"/>
    </w:rPr>
  </w:style>
  <w:style w:type="paragraph" w:customStyle="1" w:styleId="30">
    <w:name w:val="批注主题1"/>
    <w:basedOn w:val="5"/>
    <w:next w:val="5"/>
    <w:link w:val="74"/>
    <w:qFormat/>
    <w:uiPriority w:val="0"/>
    <w:rPr>
      <w:b/>
      <w:bCs/>
    </w:rPr>
  </w:style>
  <w:style w:type="paragraph" w:customStyle="1" w:styleId="31">
    <w:name w:val="仿宋正文"/>
    <w:basedOn w:val="1"/>
    <w:link w:val="51"/>
    <w:qFormat/>
    <w:uiPriority w:val="0"/>
    <w:pPr>
      <w:widowControl/>
      <w:overflowPunct w:val="0"/>
      <w:autoSpaceDE w:val="0"/>
      <w:autoSpaceDN w:val="0"/>
      <w:adjustRightInd w:val="0"/>
      <w:spacing w:line="560" w:lineRule="exact"/>
      <w:ind w:firstLine="480" w:firstLineChars="200"/>
      <w:textAlignment w:val="baseline"/>
    </w:pPr>
    <w:rPr>
      <w:rFonts w:ascii="仿宋" w:hAnsi="仿宋" w:eastAsia="仿宋"/>
      <w:b/>
      <w:kern w:val="0"/>
      <w:sz w:val="32"/>
      <w:szCs w:val="32"/>
    </w:rPr>
  </w:style>
  <w:style w:type="paragraph" w:customStyle="1" w:styleId="32">
    <w:name w:val="闻政正文"/>
    <w:basedOn w:val="1"/>
    <w:link w:val="60"/>
    <w:qFormat/>
    <w:uiPriority w:val="0"/>
    <w:pPr>
      <w:spacing w:line="500" w:lineRule="exact"/>
      <w:ind w:firstLine="883" w:firstLineChars="200"/>
    </w:pPr>
    <w:rPr>
      <w:rFonts w:ascii="Times New Roman" w:hAnsi="Times New Roman" w:eastAsia="仿宋_GB2312"/>
      <w:kern w:val="0"/>
      <w:sz w:val="28"/>
      <w:szCs w:val="28"/>
    </w:rPr>
  </w:style>
  <w:style w:type="paragraph" w:customStyle="1" w:styleId="33">
    <w:name w:val="楷体2"/>
    <w:basedOn w:val="1"/>
    <w:link w:val="72"/>
    <w:qFormat/>
    <w:uiPriority w:val="0"/>
    <w:pPr>
      <w:widowControl/>
      <w:overflowPunct w:val="0"/>
      <w:autoSpaceDE w:val="0"/>
      <w:autoSpaceDN w:val="0"/>
      <w:adjustRightInd w:val="0"/>
      <w:spacing w:line="560" w:lineRule="exact"/>
      <w:ind w:firstLine="643" w:firstLineChars="200"/>
      <w:textAlignment w:val="baseline"/>
    </w:pPr>
    <w:rPr>
      <w:rFonts w:ascii="楷体" w:hAnsi="楷体" w:eastAsia="楷体"/>
      <w:b/>
      <w:kern w:val="0"/>
      <w:sz w:val="32"/>
      <w:szCs w:val="32"/>
    </w:rPr>
  </w:style>
  <w:style w:type="paragraph" w:customStyle="1" w:styleId="34">
    <w:name w:val="WPSOffice手动目录 1"/>
    <w:qFormat/>
    <w:uiPriority w:val="0"/>
    <w:rPr>
      <w:rFonts w:ascii="Times New Roman" w:hAnsi="Times New Roman" w:eastAsia="宋体" w:cs="Times New Roman"/>
      <w:lang w:val="en-US" w:eastAsia="zh-CN" w:bidi="ar-SA"/>
    </w:rPr>
  </w:style>
  <w:style w:type="paragraph" w:customStyle="1" w:styleId="35">
    <w:name w:val="闻政标题5"/>
    <w:basedOn w:val="1"/>
    <w:qFormat/>
    <w:uiPriority w:val="0"/>
    <w:pPr>
      <w:spacing w:before="120" w:after="60" w:line="500" w:lineRule="exact"/>
      <w:ind w:firstLine="200" w:firstLineChars="200"/>
    </w:pPr>
    <w:rPr>
      <w:rFonts w:ascii="Times New Roman" w:hAnsi="Times New Roman" w:eastAsia="仿宋_GB2312"/>
      <w:b/>
      <w:kern w:val="0"/>
      <w:sz w:val="28"/>
      <w:szCs w:val="28"/>
    </w:rPr>
  </w:style>
  <w:style w:type="paragraph" w:customStyle="1" w:styleId="3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7">
    <w:name w:val="正文-闻政"/>
    <w:qFormat/>
    <w:uiPriority w:val="0"/>
    <w:pPr>
      <w:spacing w:line="500" w:lineRule="exact"/>
      <w:ind w:firstLine="200" w:firstLineChars="200"/>
    </w:pPr>
    <w:rPr>
      <w:rFonts w:ascii="Times New Roman" w:hAnsi="Times New Roman" w:eastAsia="仿宋_GB2312" w:cs="Times New Roman"/>
      <w:kern w:val="2"/>
      <w:sz w:val="28"/>
      <w:szCs w:val="22"/>
      <w:lang w:val="en-US" w:eastAsia="zh-CN" w:bidi="ar-SA"/>
    </w:rPr>
  </w:style>
  <w:style w:type="paragraph" w:customStyle="1" w:styleId="38">
    <w:name w:val="闻政标题3"/>
    <w:basedOn w:val="2"/>
    <w:qFormat/>
    <w:uiPriority w:val="0"/>
    <w:pPr>
      <w:spacing w:before="120" w:after="60" w:line="500" w:lineRule="exact"/>
      <w:jc w:val="left"/>
      <w:outlineLvl w:val="0"/>
    </w:pPr>
    <w:rPr>
      <w:rFonts w:ascii="黑体" w:hAnsi="黑体" w:eastAsia="黑体"/>
      <w:b w:val="0"/>
    </w:rPr>
  </w:style>
  <w:style w:type="paragraph" w:customStyle="1" w:styleId="39">
    <w:name w:val="黑体1"/>
    <w:basedOn w:val="1"/>
    <w:qFormat/>
    <w:uiPriority w:val="0"/>
    <w:pPr>
      <w:widowControl/>
      <w:overflowPunct w:val="0"/>
      <w:autoSpaceDE w:val="0"/>
      <w:autoSpaceDN w:val="0"/>
      <w:adjustRightInd w:val="0"/>
      <w:spacing w:line="560" w:lineRule="exact"/>
      <w:ind w:firstLine="803" w:firstLineChars="250"/>
      <w:textAlignment w:val="baseline"/>
    </w:pPr>
    <w:rPr>
      <w:rFonts w:ascii="黑体" w:hAnsi="黑体" w:eastAsia="黑体"/>
      <w:b/>
      <w:kern w:val="0"/>
      <w:sz w:val="32"/>
      <w:szCs w:val="28"/>
    </w:rPr>
  </w:style>
  <w:style w:type="paragraph" w:customStyle="1" w:styleId="40">
    <w:name w:val="闻政标题4"/>
    <w:basedOn w:val="4"/>
    <w:qFormat/>
    <w:uiPriority w:val="0"/>
    <w:pPr>
      <w:spacing w:before="120" w:after="60" w:line="560" w:lineRule="exact"/>
      <w:ind w:firstLine="200" w:firstLineChars="200"/>
      <w:jc w:val="left"/>
    </w:pPr>
    <w:rPr>
      <w:rFonts w:ascii="Times New Roman" w:hAnsi="Times New Roman" w:eastAsia="仿宋" w:cs="Times New Roman"/>
    </w:rPr>
  </w:style>
  <w:style w:type="paragraph" w:customStyle="1" w:styleId="41">
    <w:name w:val="列出段落1"/>
    <w:basedOn w:val="1"/>
    <w:qFormat/>
    <w:uiPriority w:val="0"/>
    <w:pPr>
      <w:ind w:firstLine="420" w:firstLineChars="200"/>
    </w:pPr>
    <w:rPr>
      <w:szCs w:val="22"/>
    </w:rPr>
  </w:style>
  <w:style w:type="paragraph" w:customStyle="1" w:styleId="42">
    <w:name w:val="小标题 1、"/>
    <w:basedOn w:val="1"/>
    <w:qFormat/>
    <w:uiPriority w:val="0"/>
    <w:pPr>
      <w:widowControl/>
      <w:spacing w:line="500" w:lineRule="exact"/>
      <w:ind w:firstLine="470" w:firstLineChars="195"/>
    </w:pPr>
    <w:rPr>
      <w:rFonts w:eastAsia="仿宋_GB2312" w:cs="黑体"/>
      <w:b/>
      <w:bCs/>
      <w:kern w:val="0"/>
      <w:sz w:val="24"/>
      <w:szCs w:val="22"/>
    </w:rPr>
  </w:style>
  <w:style w:type="paragraph" w:customStyle="1" w:styleId="43">
    <w:name w:val="列出段落11"/>
    <w:basedOn w:val="1"/>
    <w:qFormat/>
    <w:uiPriority w:val="0"/>
    <w:pPr>
      <w:ind w:firstLine="420" w:firstLineChars="200"/>
    </w:pPr>
    <w:rPr>
      <w:kern w:val="0"/>
      <w:sz w:val="20"/>
      <w:szCs w:val="20"/>
    </w:rPr>
  </w:style>
  <w:style w:type="paragraph" w:customStyle="1" w:styleId="44">
    <w:name w:val="修订1"/>
    <w:qFormat/>
    <w:uiPriority w:val="0"/>
    <w:rPr>
      <w:rFonts w:ascii="Calibri" w:hAnsi="Calibri" w:eastAsia="宋体" w:cs="Times New Roman"/>
      <w:kern w:val="2"/>
      <w:sz w:val="21"/>
      <w:szCs w:val="22"/>
      <w:lang w:val="en-US" w:eastAsia="zh-CN" w:bidi="ar-SA"/>
    </w:rPr>
  </w:style>
  <w:style w:type="character" w:customStyle="1" w:styleId="45">
    <w:name w:val="HTML 代码1"/>
    <w:qFormat/>
    <w:uiPriority w:val="0"/>
    <w:rPr>
      <w:rFonts w:ascii="Courier New" w:hAnsi="Courier New"/>
      <w:sz w:val="20"/>
    </w:rPr>
  </w:style>
  <w:style w:type="character" w:customStyle="1" w:styleId="46">
    <w:name w:val="批注引用1"/>
    <w:qFormat/>
    <w:uiPriority w:val="0"/>
    <w:rPr>
      <w:sz w:val="21"/>
      <w:szCs w:val="21"/>
    </w:rPr>
  </w:style>
  <w:style w:type="character" w:customStyle="1" w:styleId="47">
    <w:name w:val="gwds_nopic2"/>
    <w:basedOn w:val="15"/>
    <w:qFormat/>
    <w:uiPriority w:val="0"/>
  </w:style>
  <w:style w:type="character" w:customStyle="1" w:styleId="48">
    <w:name w:val="tabg"/>
    <w:qFormat/>
    <w:uiPriority w:val="0"/>
    <w:rPr>
      <w:color w:val="FFFFFF"/>
      <w:sz w:val="27"/>
      <w:szCs w:val="27"/>
    </w:rPr>
  </w:style>
  <w:style w:type="character" w:customStyle="1" w:styleId="49">
    <w:name w:val="font3"/>
    <w:basedOn w:val="15"/>
    <w:qFormat/>
    <w:uiPriority w:val="0"/>
  </w:style>
  <w:style w:type="character" w:customStyle="1" w:styleId="50">
    <w:name w:val="bg01"/>
    <w:basedOn w:val="15"/>
    <w:qFormat/>
    <w:uiPriority w:val="0"/>
  </w:style>
  <w:style w:type="character" w:customStyle="1" w:styleId="51">
    <w:name w:val="仿宋正文 Char Char"/>
    <w:link w:val="31"/>
    <w:semiHidden/>
    <w:qFormat/>
    <w:uiPriority w:val="0"/>
    <w:rPr>
      <w:rFonts w:ascii="仿宋" w:hAnsi="仿宋" w:eastAsia="仿宋" w:cs="Times New Roman"/>
      <w:b/>
      <w:kern w:val="0"/>
      <w:sz w:val="32"/>
      <w:szCs w:val="32"/>
    </w:rPr>
  </w:style>
  <w:style w:type="character" w:customStyle="1" w:styleId="52">
    <w:name w:val="laypage_curr"/>
    <w:qFormat/>
    <w:uiPriority w:val="0"/>
    <w:rPr>
      <w:color w:val="FFFDF4"/>
      <w:shd w:val="clear" w:color="auto" w:fill="0B67A6"/>
    </w:rPr>
  </w:style>
  <w:style w:type="character" w:customStyle="1" w:styleId="53">
    <w:name w:val="more"/>
    <w:qFormat/>
    <w:uiPriority w:val="0"/>
    <w:rPr>
      <w:color w:val="666666"/>
      <w:sz w:val="18"/>
      <w:szCs w:val="18"/>
    </w:rPr>
  </w:style>
  <w:style w:type="character" w:customStyle="1" w:styleId="54">
    <w:name w:val="more4"/>
    <w:qFormat/>
    <w:uiPriority w:val="0"/>
    <w:rPr>
      <w:color w:val="666666"/>
      <w:sz w:val="18"/>
      <w:szCs w:val="18"/>
    </w:rPr>
  </w:style>
  <w:style w:type="character" w:customStyle="1" w:styleId="55">
    <w:name w:val="font1"/>
    <w:basedOn w:val="15"/>
    <w:qFormat/>
    <w:uiPriority w:val="0"/>
  </w:style>
  <w:style w:type="character" w:customStyle="1" w:styleId="56">
    <w:name w:val="font51"/>
    <w:qFormat/>
    <w:uiPriority w:val="0"/>
    <w:rPr>
      <w:rFonts w:hint="eastAsia" w:ascii="宋体" w:hAnsi="宋体" w:eastAsia="宋体" w:cs="宋体"/>
      <w:b/>
      <w:color w:val="000000"/>
      <w:sz w:val="21"/>
      <w:szCs w:val="21"/>
      <w:u w:val="none"/>
    </w:rPr>
  </w:style>
  <w:style w:type="character" w:customStyle="1" w:styleId="57">
    <w:name w:val="font31"/>
    <w:qFormat/>
    <w:uiPriority w:val="0"/>
    <w:rPr>
      <w:rFonts w:hint="default" w:ascii="Times New Roman" w:hAnsi="Times New Roman" w:cs="Times New Roman"/>
      <w:color w:val="000000"/>
      <w:sz w:val="21"/>
      <w:szCs w:val="21"/>
      <w:u w:val="none"/>
    </w:rPr>
  </w:style>
  <w:style w:type="character" w:customStyle="1" w:styleId="58">
    <w:name w:val="gwds_nopic1"/>
    <w:basedOn w:val="15"/>
    <w:qFormat/>
    <w:uiPriority w:val="0"/>
  </w:style>
  <w:style w:type="character" w:customStyle="1" w:styleId="59">
    <w:name w:val="font2"/>
    <w:basedOn w:val="15"/>
    <w:qFormat/>
    <w:uiPriority w:val="0"/>
  </w:style>
  <w:style w:type="character" w:customStyle="1" w:styleId="60">
    <w:name w:val="闻政正文 Char Char"/>
    <w:link w:val="32"/>
    <w:semiHidden/>
    <w:qFormat/>
    <w:uiPriority w:val="0"/>
    <w:rPr>
      <w:rFonts w:ascii="Times New Roman" w:hAnsi="Times New Roman" w:eastAsia="仿宋_GB2312"/>
      <w:kern w:val="0"/>
      <w:sz w:val="28"/>
      <w:szCs w:val="28"/>
    </w:rPr>
  </w:style>
  <w:style w:type="character" w:customStyle="1" w:styleId="61">
    <w:name w:val="font"/>
    <w:basedOn w:val="15"/>
    <w:qFormat/>
    <w:uiPriority w:val="0"/>
  </w:style>
  <w:style w:type="character" w:customStyle="1" w:styleId="62">
    <w:name w:val="bg02"/>
    <w:basedOn w:val="15"/>
    <w:qFormat/>
    <w:uiPriority w:val="0"/>
  </w:style>
  <w:style w:type="character" w:customStyle="1" w:styleId="63">
    <w:name w:val="font41"/>
    <w:qFormat/>
    <w:uiPriority w:val="0"/>
    <w:rPr>
      <w:rFonts w:hint="eastAsia" w:ascii="仿宋_GB2312" w:eastAsia="仿宋_GB2312" w:cs="仿宋_GB2312"/>
      <w:color w:val="000000"/>
      <w:sz w:val="21"/>
      <w:szCs w:val="21"/>
      <w:u w:val="none"/>
    </w:rPr>
  </w:style>
  <w:style w:type="character" w:customStyle="1" w:styleId="64">
    <w:name w:val="m011"/>
    <w:basedOn w:val="15"/>
    <w:qFormat/>
    <w:uiPriority w:val="0"/>
  </w:style>
  <w:style w:type="character" w:customStyle="1" w:styleId="65">
    <w:name w:val="dates"/>
    <w:basedOn w:val="15"/>
    <w:qFormat/>
    <w:uiPriority w:val="0"/>
  </w:style>
  <w:style w:type="character" w:customStyle="1" w:styleId="66">
    <w:name w:val="name"/>
    <w:qFormat/>
    <w:uiPriority w:val="0"/>
    <w:rPr>
      <w:color w:val="6A6A6A"/>
      <w:u w:val="single"/>
    </w:rPr>
  </w:style>
  <w:style w:type="character" w:customStyle="1" w:styleId="67">
    <w:name w:val="font11"/>
    <w:qFormat/>
    <w:uiPriority w:val="0"/>
    <w:rPr>
      <w:rFonts w:ascii="font-weight : 700" w:hAnsi="font-weight : 700" w:eastAsia="font-weight : 700" w:cs="font-weight : 700"/>
      <w:color w:val="FF0000"/>
      <w:sz w:val="21"/>
      <w:szCs w:val="21"/>
      <w:u w:val="none"/>
    </w:rPr>
  </w:style>
  <w:style w:type="character" w:customStyle="1" w:styleId="68">
    <w:name w:val="font21"/>
    <w:qFormat/>
    <w:uiPriority w:val="0"/>
    <w:rPr>
      <w:rFonts w:hint="eastAsia" w:ascii="宋体" w:hAnsi="宋体" w:eastAsia="宋体" w:cs="宋体"/>
      <w:color w:val="000000"/>
      <w:sz w:val="22"/>
      <w:szCs w:val="22"/>
      <w:u w:val="none"/>
    </w:rPr>
  </w:style>
  <w:style w:type="character" w:customStyle="1" w:styleId="69">
    <w:name w:val="m01"/>
    <w:basedOn w:val="15"/>
    <w:qFormat/>
    <w:uiPriority w:val="0"/>
  </w:style>
  <w:style w:type="character" w:customStyle="1" w:styleId="70">
    <w:name w:val="gwds_nopic"/>
    <w:basedOn w:val="15"/>
    <w:qFormat/>
    <w:uiPriority w:val="0"/>
  </w:style>
  <w:style w:type="character" w:customStyle="1" w:styleId="71">
    <w:name w:val="font01"/>
    <w:qFormat/>
    <w:uiPriority w:val="0"/>
    <w:rPr>
      <w:rFonts w:hint="default" w:ascii="Times New Roman" w:hAnsi="Times New Roman" w:cs="Times New Roman"/>
      <w:color w:val="000000"/>
      <w:sz w:val="21"/>
      <w:szCs w:val="21"/>
      <w:u w:val="none"/>
    </w:rPr>
  </w:style>
  <w:style w:type="character" w:customStyle="1" w:styleId="72">
    <w:name w:val="楷体2 Char Char"/>
    <w:link w:val="33"/>
    <w:semiHidden/>
    <w:qFormat/>
    <w:uiPriority w:val="0"/>
    <w:rPr>
      <w:rFonts w:ascii="楷体" w:hAnsi="楷体" w:eastAsia="楷体" w:cs="Times New Roman"/>
      <w:b/>
      <w:kern w:val="0"/>
      <w:sz w:val="32"/>
      <w:szCs w:val="32"/>
    </w:rPr>
  </w:style>
  <w:style w:type="character" w:customStyle="1" w:styleId="73">
    <w:name w:val="批注框文本 字符"/>
    <w:link w:val="27"/>
    <w:semiHidden/>
    <w:qFormat/>
    <w:uiPriority w:val="0"/>
    <w:rPr>
      <w:rFonts w:ascii="Calibri" w:hAnsi="Calibri"/>
      <w:kern w:val="2"/>
      <w:sz w:val="18"/>
      <w:szCs w:val="18"/>
    </w:rPr>
  </w:style>
  <w:style w:type="character" w:customStyle="1" w:styleId="74">
    <w:name w:val="批注主题 字符"/>
    <w:link w:val="30"/>
    <w:semiHidden/>
    <w:qFormat/>
    <w:uiPriority w:val="0"/>
    <w:rPr>
      <w:rFonts w:ascii="Calibri" w:hAnsi="Calibri"/>
      <w:b/>
      <w:bCs/>
      <w:kern w:val="2"/>
      <w:sz w:val="21"/>
      <w:szCs w:val="22"/>
    </w:rPr>
  </w:style>
  <w:style w:type="character" w:customStyle="1" w:styleId="75">
    <w:name w:val="font61"/>
    <w:qFormat/>
    <w:uiPriority w:val="0"/>
    <w:rPr>
      <w:rFonts w:hint="eastAsia" w:ascii="仿宋_GB2312" w:eastAsia="仿宋_GB2312" w:cs="仿宋_GB2312"/>
      <w:b/>
      <w:color w:val="000000"/>
      <w:sz w:val="22"/>
      <w:szCs w:val="22"/>
      <w:u w:val="none"/>
    </w:rPr>
  </w:style>
  <w:style w:type="character" w:customStyle="1" w:styleId="76">
    <w:name w:val="闻政正文 Char Char Char"/>
    <w:qFormat/>
    <w:uiPriority w:val="0"/>
    <w:rPr>
      <w:rFonts w:ascii="Times New Roman" w:hAnsi="Times New Roman" w:eastAsia="仿宋_GB2312"/>
      <w:kern w:val="0"/>
      <w:sz w:val="28"/>
      <w:szCs w:val="28"/>
    </w:rPr>
  </w:style>
  <w:style w:type="character" w:customStyle="1" w:styleId="77">
    <w:name w:val="批注引用2"/>
    <w:qFormat/>
    <w:uiPriority w:val="0"/>
    <w:rPr>
      <w:sz w:val="21"/>
      <w:szCs w:val="21"/>
    </w:rPr>
  </w:style>
  <w:style w:type="character" w:customStyle="1" w:styleId="78">
    <w:name w:val="闻政正文 Char"/>
    <w:qFormat/>
    <w:uiPriority w:val="0"/>
    <w:rPr>
      <w:rFonts w:ascii="Times New Roman" w:hAnsi="Times New Roman" w:eastAsia="仿宋_GB2312" w:cs="Times New Roman"/>
      <w:kern w:val="0"/>
      <w:sz w:val="28"/>
      <w:szCs w:val="28"/>
    </w:rPr>
  </w:style>
  <w:style w:type="paragraph" w:styleId="79">
    <w:name w:val="List Paragraph"/>
    <w:basedOn w:val="1"/>
    <w:link w:val="81"/>
    <w:unhideWhenUsed/>
    <w:qFormat/>
    <w:uiPriority w:val="34"/>
    <w:pPr>
      <w:ind w:firstLine="420" w:firstLineChars="200"/>
    </w:pPr>
    <w:rPr>
      <w:szCs w:val="22"/>
    </w:rPr>
  </w:style>
  <w:style w:type="paragraph" w:customStyle="1" w:styleId="80">
    <w:name w:val="修订2"/>
    <w:hidden/>
    <w:semiHidden/>
    <w:qFormat/>
    <w:uiPriority w:val="99"/>
    <w:rPr>
      <w:rFonts w:ascii="Calibri" w:hAnsi="Calibri" w:eastAsia="宋体" w:cs="Times New Roman"/>
      <w:kern w:val="2"/>
      <w:sz w:val="21"/>
      <w:szCs w:val="22"/>
      <w:lang w:val="en-US" w:eastAsia="zh-CN" w:bidi="ar-SA"/>
    </w:rPr>
  </w:style>
  <w:style w:type="character" w:customStyle="1" w:styleId="81">
    <w:name w:val="列表段落 字符"/>
    <w:link w:val="79"/>
    <w:qFormat/>
    <w:locked/>
    <w:uiPriority w:val="0"/>
    <w:rPr>
      <w:rFonts w:ascii="Calibri" w:hAnsi="Calibri"/>
      <w:kern w:val="2"/>
      <w:sz w:val="21"/>
      <w:szCs w:val="22"/>
    </w:rPr>
  </w:style>
  <w:style w:type="character" w:customStyle="1" w:styleId="82">
    <w:name w:val="NormalCharacter"/>
    <w:semiHidden/>
    <w:qFormat/>
    <w:uiPriority w:val="0"/>
    <w:rPr>
      <w:rFonts w:asciiTheme="minorHAnsi" w:hAnsiTheme="minorHAnsi" w:eastAsiaTheme="minorEastAsia" w:cstheme="minorBidi"/>
      <w:kern w:val="2"/>
      <w:sz w:val="21"/>
      <w:szCs w:val="24"/>
      <w:lang w:val="en-US" w:eastAsia="zh-CN" w:bidi="ar-SA"/>
    </w:rPr>
  </w:style>
  <w:style w:type="paragraph" w:customStyle="1" w:styleId="83">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84">
    <w:name w:val="1.项目背景"/>
    <w:basedOn w:val="3"/>
    <w:qFormat/>
    <w:uiPriority w:val="0"/>
    <w:pPr>
      <w:widowControl/>
      <w:overflowPunct w:val="0"/>
      <w:autoSpaceDE w:val="0"/>
      <w:autoSpaceDN w:val="0"/>
      <w:adjustRightInd w:val="0"/>
      <w:spacing w:line="560" w:lineRule="exact"/>
      <w:ind w:firstLine="643" w:firstLineChars="200"/>
      <w:textAlignment w:val="baseline"/>
    </w:pPr>
    <w:rPr>
      <w:rFonts w:ascii="Times New Roman" w:hAnsi="Times New Roman" w:eastAsia="仿宋_GB2312"/>
      <w:kern w:val="0"/>
      <w:sz w:val="32"/>
      <w:szCs w:val="32"/>
    </w:rPr>
  </w:style>
  <w:style w:type="paragraph" w:customStyle="1" w:styleId="85">
    <w:name w:val="财讯二级标题"/>
    <w:basedOn w:val="1"/>
    <w:qFormat/>
    <w:uiPriority w:val="0"/>
    <w:pPr>
      <w:widowControl/>
      <w:overflowPunct w:val="0"/>
      <w:autoSpaceDE w:val="0"/>
      <w:autoSpaceDN w:val="0"/>
      <w:adjustRightInd w:val="0"/>
      <w:spacing w:line="560" w:lineRule="exact"/>
      <w:ind w:firstLine="643" w:firstLineChars="200"/>
      <w:textAlignment w:val="baseline"/>
      <w:outlineLvl w:val="1"/>
    </w:pPr>
    <w:rPr>
      <w:rFonts w:ascii="Times New Roman" w:hAnsi="Times New Roman" w:eastAsia="楷体"/>
      <w:b/>
      <w:color w:val="000000" w:themeColor="text1"/>
      <w:kern w:val="0"/>
      <w:sz w:val="32"/>
      <w:szCs w:val="32"/>
      <w14:textFill>
        <w14:solidFill>
          <w14:schemeClr w14:val="tx1"/>
        </w14:solidFill>
      </w14:textFill>
    </w:rPr>
  </w:style>
  <w:style w:type="paragraph" w:customStyle="1" w:styleId="86">
    <w:name w:val="财讯一级标题"/>
    <w:basedOn w:val="39"/>
    <w:qFormat/>
    <w:uiPriority w:val="0"/>
    <w:pPr>
      <w:adjustRightInd/>
      <w:ind w:firstLine="640" w:firstLineChars="200"/>
      <w:outlineLvl w:val="0"/>
    </w:pPr>
    <w:rPr>
      <w:rFonts w:ascii="Times New Roman" w:hAnsi="Times New Roman"/>
      <w:b w:val="0"/>
      <w:bCs/>
    </w:rPr>
  </w:style>
  <w:style w:type="paragraph" w:customStyle="1" w:styleId="87">
    <w:name w:val="财讯三级标题"/>
    <w:basedOn w:val="1"/>
    <w:qFormat/>
    <w:uiPriority w:val="0"/>
    <w:rPr>
      <w:rFonts w:eastAsia="仿宋_GB2312"/>
      <w:b/>
      <w:sz w:val="32"/>
    </w:rPr>
  </w:style>
  <w:style w:type="paragraph" w:customStyle="1" w:styleId="88">
    <w:name w:val="修订3"/>
    <w:hidden/>
    <w:semiHidden/>
    <w:qFormat/>
    <w:uiPriority w:val="99"/>
    <w:rPr>
      <w:rFonts w:ascii="Calibri" w:hAnsi="Calibri" w:eastAsia="宋体" w:cs="Times New Roman"/>
      <w:kern w:val="2"/>
      <w:sz w:val="21"/>
      <w:szCs w:val="21"/>
      <w:lang w:val="en-US" w:eastAsia="zh-CN" w:bidi="ar-SA"/>
    </w:rPr>
  </w:style>
  <w:style w:type="paragraph" w:customStyle="1" w:styleId="89">
    <w:name w:val="修订4"/>
    <w:hidden/>
    <w:semiHidden/>
    <w:qFormat/>
    <w:uiPriority w:val="99"/>
    <w:rPr>
      <w:rFonts w:ascii="Calibri" w:hAnsi="Calibri" w:eastAsia="宋体" w:cs="Times New Roman"/>
      <w:kern w:val="2"/>
      <w:sz w:val="21"/>
      <w:szCs w:val="21"/>
      <w:lang w:val="en-US" w:eastAsia="zh-CN" w:bidi="ar-SA"/>
    </w:rPr>
  </w:style>
  <w:style w:type="paragraph" w:customStyle="1" w:styleId="90">
    <w:name w:val="Revision"/>
    <w:hidden/>
    <w:semiHidden/>
    <w:uiPriority w:val="99"/>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500697-4CD8-4D2A-A348-9FD5CB5477A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Pages>
  <Words>16024</Words>
  <Characters>16995</Characters>
  <Lines>137</Lines>
  <Paragraphs>38</Paragraphs>
  <TotalTime>220</TotalTime>
  <ScaleCrop>false</ScaleCrop>
  <LinksUpToDate>false</LinksUpToDate>
  <CharactersWithSpaces>17192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2021-08-11T09:22:00Z</dcterms:created>
  <dc:creator>zzj</dc:creator>
  <cp:lastModifiedBy>茶…！</cp:lastModifiedBy>
  <cp:lastPrinted>2020-01-04T01:21:00Z</cp:lastPrinted>
  <dcterms:modified xsi:type="dcterms:W3CDTF">2022-10-14T10:39:08Z</dcterms:modified>
  <dc:title>Administrator</dc:title>
  <cp:revision>882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846C7735AE754599960317C370033FEC</vt:lpwstr>
  </property>
</Properties>
</file>