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pacing w:line="360" w:lineRule="auto"/>
        <w:jc w:val="center"/>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2</w:t>
      </w:r>
      <w:r>
        <w:rPr>
          <w:rFonts w:ascii="黑体" w:hAnsi="黑体" w:eastAsia="黑体" w:cs="黑体"/>
          <w:color w:val="auto"/>
          <w:sz w:val="28"/>
          <w:szCs w:val="28"/>
          <w:highlight w:val="none"/>
        </w:rPr>
        <w:t>02</w:t>
      </w:r>
      <w:r>
        <w:rPr>
          <w:rFonts w:hint="eastAsia" w:ascii="黑体" w:hAnsi="黑体" w:eastAsia="黑体" w:cs="黑体"/>
          <w:color w:val="auto"/>
          <w:sz w:val="28"/>
          <w:szCs w:val="28"/>
          <w:highlight w:val="none"/>
          <w:lang w:val="en-US" w:eastAsia="zh-CN"/>
        </w:rPr>
        <w:t>6</w:t>
      </w:r>
      <w:r>
        <w:rPr>
          <w:rFonts w:hint="eastAsia" w:ascii="黑体" w:hAnsi="黑体" w:eastAsia="黑体" w:cs="黑体"/>
          <w:color w:val="auto"/>
          <w:sz w:val="28"/>
          <w:szCs w:val="28"/>
          <w:highlight w:val="none"/>
        </w:rPr>
        <w:t>年吐鲁番市滴灌带产品质量监督抽查实施细则</w:t>
      </w:r>
    </w:p>
    <w:p>
      <w:pPr>
        <w:keepNext w:val="0"/>
        <w:keepLines w:val="0"/>
        <w:pageBreakBefore w:val="0"/>
        <w:widowControl w:val="0"/>
        <w:shd w:val="clear"/>
        <w:kinsoku/>
        <w:wordWrap/>
        <w:overflowPunct/>
        <w:topLinePunct w:val="0"/>
        <w:autoSpaceDE/>
        <w:autoSpaceDN/>
        <w:bidi w:val="0"/>
        <w:adjustRightInd/>
        <w:spacing w:line="360" w:lineRule="auto"/>
        <w:jc w:val="left"/>
        <w:textAlignment w:val="auto"/>
        <w:rPr>
          <w:rFonts w:ascii="方正黑体简体" w:hAnsi="方正黑体简体" w:eastAsia="方正黑体简体" w:cs="方正黑体简体"/>
          <w:color w:val="auto"/>
          <w:szCs w:val="21"/>
          <w:highlight w:val="none"/>
        </w:rPr>
      </w:pPr>
    </w:p>
    <w:p>
      <w:pPr>
        <w:keepNext w:val="0"/>
        <w:keepLines w:val="0"/>
        <w:pageBreakBefore w:val="0"/>
        <w:widowControl w:val="0"/>
        <w:shd w:val="clear"/>
        <w:kinsoku/>
        <w:wordWrap/>
        <w:overflowPunct/>
        <w:topLinePunct w:val="0"/>
        <w:autoSpaceDE/>
        <w:autoSpaceDN/>
        <w:bidi w:val="0"/>
        <w:adjustRightInd/>
        <w:spacing w:line="360" w:lineRule="auto"/>
        <w:jc w:val="left"/>
        <w:textAlignment w:val="auto"/>
        <w:rPr>
          <w:rFonts w:hint="eastAsia" w:ascii="黑体" w:hAnsi="黑体" w:eastAsia="黑体" w:cs="黑体"/>
          <w:color w:val="auto"/>
          <w:szCs w:val="21"/>
          <w:highlight w:val="none"/>
        </w:rPr>
      </w:pPr>
      <w:r>
        <w:rPr>
          <w:rFonts w:hint="eastAsia" w:ascii="黑体" w:hAnsi="黑体" w:eastAsia="黑体" w:cs="黑体"/>
          <w:color w:val="auto"/>
          <w:szCs w:val="21"/>
          <w:highlight w:val="none"/>
        </w:rPr>
        <w:t>1 抽样方法</w:t>
      </w:r>
    </w:p>
    <w:p>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在生产企业或销售商的待销产品中随机抽取经确认表明合格的单翼迷宫式滴灌带</w:t>
      </w:r>
      <w:r>
        <w:rPr>
          <w:rFonts w:hint="eastAsia" w:ascii="宋体" w:hAnsi="宋体" w:eastAsia="宋体" w:cs="宋体"/>
          <w:bCs/>
          <w:color w:val="auto"/>
          <w:szCs w:val="21"/>
          <w:highlight w:val="none"/>
          <w:shd w:val="clear" w:color="auto" w:fill="FFFFFF"/>
          <w:lang w:val="en-US" w:eastAsia="zh-CN"/>
        </w:rPr>
        <w:t>或内镶式滴灌带</w:t>
      </w:r>
      <w:r>
        <w:rPr>
          <w:rFonts w:hint="eastAsia" w:ascii="宋体" w:hAnsi="宋体" w:eastAsia="宋体" w:cs="宋体"/>
          <w:bCs/>
          <w:color w:val="auto"/>
          <w:szCs w:val="21"/>
          <w:highlight w:val="none"/>
          <w:shd w:val="clear" w:color="auto" w:fill="FFFFFF"/>
        </w:rPr>
        <w:t>产品</w:t>
      </w:r>
      <w:r>
        <w:rPr>
          <w:rFonts w:hint="eastAsia" w:ascii="宋体" w:hAnsi="宋体" w:eastAsia="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lang w:val="en-US" w:eastAsia="zh-CN"/>
        </w:rPr>
        <w:t>以下简称滴灌带</w:t>
      </w:r>
      <w:r>
        <w:rPr>
          <w:rFonts w:hint="eastAsia" w:ascii="宋体" w:hAnsi="宋体" w:eastAsia="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w:t>
      </w:r>
    </w:p>
    <w:p>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auto"/>
          <w:szCs w:val="21"/>
          <w:highlight w:val="none"/>
          <w:shd w:val="clear" w:color="auto" w:fill="FFFFFF"/>
          <w:lang w:val="en-US" w:eastAsia="zh-CN"/>
        </w:rPr>
      </w:pPr>
      <w:r>
        <w:rPr>
          <w:rFonts w:hint="eastAsia" w:ascii="宋体" w:hAnsi="宋体" w:eastAsia="宋体" w:cs="宋体"/>
          <w:bCs/>
          <w:color w:val="auto"/>
          <w:szCs w:val="21"/>
          <w:highlight w:val="none"/>
          <w:shd w:val="clear" w:color="auto" w:fill="FFFFFF"/>
        </w:rPr>
        <w:t>抽取样品应为同一原料配方、同一型号规格、同一生产线、同一批次的产品。</w:t>
      </w:r>
      <w:r>
        <w:rPr>
          <w:rFonts w:hint="eastAsia" w:ascii="宋体" w:hAnsi="宋体" w:eastAsia="宋体" w:cs="宋体"/>
          <w:bCs/>
          <w:color w:val="auto"/>
          <w:szCs w:val="21"/>
          <w:highlight w:val="none"/>
          <w:shd w:val="clear" w:color="auto" w:fill="FFFFFF"/>
          <w:lang w:val="en-US" w:eastAsia="zh-CN"/>
        </w:rPr>
        <w:t>优先抽取企业生产量大、具有代表性的型号规格的产品。</w:t>
      </w:r>
    </w:p>
    <w:p>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auto"/>
          <w:szCs w:val="21"/>
          <w:highlight w:val="none"/>
          <w:shd w:val="clear" w:color="auto" w:fill="FFFFFF"/>
        </w:rPr>
      </w:pPr>
      <w:bookmarkStart w:id="0" w:name="_Hlk93006592"/>
      <w:r>
        <w:rPr>
          <w:rFonts w:hint="eastAsia" w:ascii="宋体" w:hAnsi="宋体" w:eastAsia="宋体" w:cs="宋体"/>
          <w:bCs/>
          <w:color w:val="auto"/>
          <w:szCs w:val="21"/>
          <w:highlight w:val="none"/>
          <w:shd w:val="clear" w:color="auto" w:fill="FFFFFF"/>
          <w:lang w:val="en-US" w:eastAsia="zh-CN"/>
        </w:rPr>
        <w:t>以随机抽样的方式在受检单位成品堆放区中抽取，</w:t>
      </w:r>
      <w:r>
        <w:rPr>
          <w:rFonts w:hint="eastAsia" w:ascii="宋体" w:hAnsi="宋体" w:eastAsia="宋体" w:cs="宋体"/>
          <w:bCs/>
          <w:color w:val="auto"/>
          <w:szCs w:val="21"/>
          <w:highlight w:val="none"/>
          <w:shd w:val="clear" w:color="auto" w:fill="FFFFFF"/>
        </w:rPr>
        <w:t>随机数使用随机数表法产生。</w:t>
      </w:r>
    </w:p>
    <w:bookmarkEnd w:id="0"/>
    <w:p>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rPr>
          <w:rFonts w:hint="default" w:ascii="宋体" w:hAnsi="宋体" w:eastAsia="宋体" w:cs="宋体"/>
          <w:bCs/>
          <w:color w:val="auto"/>
          <w:szCs w:val="21"/>
          <w:highlight w:val="none"/>
          <w:shd w:val="clear" w:color="auto" w:fill="FFFFFF"/>
          <w:lang w:val="en-US" w:eastAsia="zh-CN"/>
        </w:rPr>
      </w:pPr>
      <w:r>
        <w:rPr>
          <w:rFonts w:hint="eastAsia" w:ascii="宋体" w:hAnsi="宋体" w:eastAsia="宋体" w:cs="宋体"/>
          <w:bCs/>
          <w:color w:val="auto"/>
          <w:szCs w:val="21"/>
          <w:highlight w:val="none"/>
          <w:shd w:val="clear" w:color="auto" w:fill="FFFFFF"/>
          <w:lang w:val="en-US" w:eastAsia="zh-CN"/>
        </w:rPr>
        <w:t>随机抽取有质量检验合格证明或者以其他形式表明合格的、自生产之日起一年内生产的产品。</w:t>
      </w:r>
    </w:p>
    <w:p>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在被确认合格的产品中随机抽取2卷滴灌带样品。将每卷滴灌带外层除去10m，每卷滴灌带各抽取500m。其中1号滴灌带样品签封标明为“检验样品”，由抽检单位现场封存带走；</w:t>
      </w:r>
      <w:r>
        <w:rPr>
          <w:rFonts w:hint="eastAsia" w:ascii="宋体" w:hAnsi="宋体" w:eastAsia="宋体" w:cs="宋体"/>
          <w:color w:val="auto"/>
          <w:szCs w:val="21"/>
          <w:highlight w:val="none"/>
        </w:rPr>
        <w:t>2号</w:t>
      </w:r>
      <w:r>
        <w:rPr>
          <w:rFonts w:hint="eastAsia" w:ascii="宋体" w:hAnsi="宋体" w:eastAsia="宋体" w:cs="宋体"/>
          <w:bCs/>
          <w:color w:val="auto"/>
          <w:szCs w:val="21"/>
          <w:highlight w:val="none"/>
          <w:shd w:val="clear" w:color="auto" w:fill="FFFFFF"/>
        </w:rPr>
        <w:t>滴灌带</w:t>
      </w:r>
      <w:r>
        <w:rPr>
          <w:rFonts w:hint="eastAsia" w:ascii="宋体" w:hAnsi="宋体" w:eastAsia="宋体" w:cs="宋体"/>
          <w:color w:val="auto"/>
          <w:szCs w:val="21"/>
          <w:highlight w:val="none"/>
        </w:rPr>
        <w:t>样品</w:t>
      </w:r>
      <w:r>
        <w:rPr>
          <w:rFonts w:hint="eastAsia" w:ascii="宋体" w:hAnsi="宋体" w:eastAsia="宋体" w:cs="宋体"/>
          <w:bCs/>
          <w:color w:val="auto"/>
          <w:szCs w:val="21"/>
          <w:highlight w:val="none"/>
          <w:shd w:val="clear" w:color="auto" w:fill="FFFFFF"/>
        </w:rPr>
        <w:t>签封标明为“备用样品”</w:t>
      </w:r>
      <w:r>
        <w:rPr>
          <w:rFonts w:hint="eastAsia" w:ascii="宋体" w:hAnsi="宋体" w:eastAsia="宋体" w:cs="宋体"/>
          <w:color w:val="auto"/>
          <w:szCs w:val="21"/>
          <w:highlight w:val="none"/>
        </w:rPr>
        <w:t>，现</w:t>
      </w:r>
      <w:r>
        <w:rPr>
          <w:rFonts w:hint="eastAsia" w:ascii="宋体" w:hAnsi="宋体" w:eastAsia="宋体" w:cs="宋体"/>
          <w:bCs/>
          <w:color w:val="auto"/>
          <w:szCs w:val="21"/>
          <w:highlight w:val="none"/>
          <w:shd w:val="clear" w:color="auto" w:fill="FFFFFF"/>
        </w:rPr>
        <w:t>场封存后由被抽检单位保管。</w:t>
      </w:r>
      <w:r>
        <w:rPr>
          <w:rFonts w:hint="eastAsia" w:ascii="宋体" w:hAnsi="宋体" w:eastAsia="宋体" w:cs="宋体"/>
          <w:bCs/>
          <w:color w:val="auto"/>
          <w:szCs w:val="21"/>
          <w:highlight w:val="none"/>
          <w:shd w:val="clear" w:color="auto" w:fill="FFFFFF"/>
          <w:lang w:val="en-US" w:eastAsia="zh-CN"/>
        </w:rPr>
        <w:t>在取样过程中，避免拉扯、折叠、变形等情况，必须保证样品完好。</w:t>
      </w:r>
    </w:p>
    <w:p>
      <w:pPr>
        <w:keepNext w:val="0"/>
        <w:keepLines w:val="0"/>
        <w:pageBreakBefore w:val="0"/>
        <w:widowControl w:val="0"/>
        <w:shd w:val="clear"/>
        <w:kinsoku/>
        <w:wordWrap/>
        <w:overflowPunct/>
        <w:topLinePunct w:val="0"/>
        <w:autoSpaceDE/>
        <w:autoSpaceDN/>
        <w:bidi w:val="0"/>
        <w:adjustRightInd/>
        <w:spacing w:line="360" w:lineRule="auto"/>
        <w:jc w:val="left"/>
        <w:textAlignment w:val="auto"/>
        <w:rPr>
          <w:rFonts w:ascii="黑体" w:hAnsi="黑体" w:eastAsia="黑体" w:cs="黑体"/>
          <w:color w:val="auto"/>
          <w:szCs w:val="21"/>
          <w:highlight w:val="none"/>
        </w:rPr>
      </w:pPr>
      <w:r>
        <w:rPr>
          <w:rFonts w:hint="eastAsia" w:ascii="黑体" w:hAnsi="黑体" w:eastAsia="黑体" w:cs="黑体"/>
          <w:color w:val="auto"/>
          <w:szCs w:val="21"/>
          <w:highlight w:val="none"/>
        </w:rPr>
        <w:t>2 检测项目及检测方法依据</w:t>
      </w:r>
    </w:p>
    <w:p>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检测项目及依据的检测方法见表</w:t>
      </w:r>
      <w:r>
        <w:rPr>
          <w:rFonts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与表2</w:t>
      </w:r>
      <w:r>
        <w:rPr>
          <w:rFonts w:hint="eastAsia" w:ascii="宋体" w:hAnsi="宋体" w:eastAsia="宋体" w:cs="宋体"/>
          <w:color w:val="auto"/>
          <w:szCs w:val="21"/>
          <w:highlight w:val="none"/>
        </w:rPr>
        <w:t>。</w:t>
      </w:r>
    </w:p>
    <w:p>
      <w:pPr>
        <w:keepNext w:val="0"/>
        <w:keepLines w:val="0"/>
        <w:pageBreakBefore w:val="0"/>
        <w:widowControl w:val="0"/>
        <w:shd w:val="clear"/>
        <w:kinsoku/>
        <w:wordWrap/>
        <w:overflowPunct/>
        <w:topLinePunct w:val="0"/>
        <w:autoSpaceDE/>
        <w:autoSpaceDN/>
        <w:bidi w:val="0"/>
        <w:adjustRightInd/>
        <w:spacing w:line="360" w:lineRule="auto"/>
        <w:jc w:val="center"/>
        <w:textAlignment w:val="auto"/>
        <w:rPr>
          <w:rFonts w:ascii="黑体" w:hAnsi="黑体" w:eastAsia="黑体" w:cs="黑体"/>
          <w:color w:val="auto"/>
          <w:szCs w:val="21"/>
          <w:highlight w:val="none"/>
        </w:rPr>
      </w:pPr>
      <w:r>
        <w:rPr>
          <w:rFonts w:hint="eastAsia" w:ascii="黑体" w:hAnsi="黑体" w:eastAsia="黑体" w:cs="黑体"/>
          <w:color w:val="auto"/>
          <w:szCs w:val="21"/>
          <w:highlight w:val="none"/>
        </w:rPr>
        <w:t>表</w:t>
      </w:r>
      <w:r>
        <w:rPr>
          <w:rFonts w:ascii="黑体" w:hAnsi="黑体" w:eastAsia="黑体" w:cs="黑体"/>
          <w:color w:val="auto"/>
          <w:szCs w:val="21"/>
          <w:highlight w:val="none"/>
        </w:rPr>
        <w:t xml:space="preserve">1 </w:t>
      </w:r>
      <w:r>
        <w:rPr>
          <w:rFonts w:hint="eastAsia" w:ascii="黑体" w:hAnsi="黑体" w:eastAsia="黑体" w:cs="黑体"/>
          <w:bCs/>
          <w:color w:val="auto"/>
          <w:szCs w:val="21"/>
          <w:highlight w:val="none"/>
          <w:shd w:val="clear" w:color="auto" w:fill="FFFFFF"/>
        </w:rPr>
        <w:t xml:space="preserve"> </w:t>
      </w:r>
      <w:r>
        <w:rPr>
          <w:rFonts w:hint="eastAsia" w:ascii="黑体" w:hAnsi="黑体" w:eastAsia="黑体" w:cs="黑体"/>
          <w:bCs/>
          <w:color w:val="auto"/>
          <w:szCs w:val="21"/>
          <w:highlight w:val="none"/>
          <w:shd w:val="clear" w:color="auto" w:fill="FFFFFF"/>
          <w:lang w:val="en-US" w:eastAsia="zh-CN"/>
        </w:rPr>
        <w:t>单翼迷宫式</w:t>
      </w:r>
      <w:r>
        <w:rPr>
          <w:rFonts w:hint="eastAsia" w:ascii="黑体" w:hAnsi="黑体" w:eastAsia="黑体" w:cs="黑体"/>
          <w:bCs/>
          <w:color w:val="auto"/>
          <w:szCs w:val="21"/>
          <w:highlight w:val="none"/>
          <w:shd w:val="clear" w:color="auto" w:fill="FFFFFF"/>
        </w:rPr>
        <w:t>滴灌带样品的检测项目及检测方法依据</w:t>
      </w:r>
    </w:p>
    <w:tbl>
      <w:tblPr>
        <w:tblStyle w:val="8"/>
        <w:tblW w:w="8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1093"/>
        <w:gridCol w:w="2063"/>
        <w:gridCol w:w="4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55" w:type="dxa"/>
            <w:vAlign w:val="center"/>
          </w:tcPr>
          <w:p>
            <w:pPr>
              <w:shd w:val="clea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156" w:type="dxa"/>
            <w:gridSpan w:val="2"/>
            <w:vAlign w:val="center"/>
          </w:tcPr>
          <w:p>
            <w:pPr>
              <w:shd w:val="clea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检测项目</w:t>
            </w:r>
          </w:p>
        </w:tc>
        <w:tc>
          <w:tcPr>
            <w:tcW w:w="4693" w:type="dxa"/>
            <w:vAlign w:val="center"/>
          </w:tcPr>
          <w:p>
            <w:pPr>
              <w:shd w:val="clea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55" w:type="dxa"/>
            <w:vAlign w:val="center"/>
          </w:tcPr>
          <w:p>
            <w:pPr>
              <w:shd w:val="clea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156" w:type="dxa"/>
            <w:gridSpan w:val="2"/>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外观</w:t>
            </w:r>
          </w:p>
        </w:tc>
        <w:tc>
          <w:tcPr>
            <w:tcW w:w="4693" w:type="dxa"/>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GB/T 19812.1-2017/8.1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55" w:type="dxa"/>
            <w:vAlign w:val="center"/>
          </w:tcPr>
          <w:p>
            <w:pPr>
              <w:shd w:val="clea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156" w:type="dxa"/>
            <w:gridSpan w:val="2"/>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不透光性</w:t>
            </w:r>
          </w:p>
        </w:tc>
        <w:tc>
          <w:tcPr>
            <w:tcW w:w="4693" w:type="dxa"/>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GB/T 19812.1-2017/8.2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55" w:type="dxa"/>
            <w:vMerge w:val="restart"/>
            <w:vAlign w:val="center"/>
          </w:tcPr>
          <w:p>
            <w:pPr>
              <w:shd w:val="clear"/>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093" w:type="dxa"/>
            <w:vMerge w:val="restart"/>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规格尺寸</w:t>
            </w:r>
          </w:p>
        </w:tc>
        <w:tc>
          <w:tcPr>
            <w:tcW w:w="2063" w:type="dxa"/>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公称内径</w:t>
            </w:r>
          </w:p>
        </w:tc>
        <w:tc>
          <w:tcPr>
            <w:tcW w:w="4693" w:type="dxa"/>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GB/T 19812.1-2017/8.3.1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55" w:type="dxa"/>
            <w:vMerge w:val="continue"/>
            <w:vAlign w:val="center"/>
          </w:tcPr>
          <w:p>
            <w:pPr>
              <w:shd w:val="clear"/>
              <w:jc w:val="center"/>
              <w:rPr>
                <w:rFonts w:ascii="宋体" w:hAnsi="宋体" w:eastAsia="宋体" w:cs="宋体"/>
                <w:color w:val="auto"/>
                <w:szCs w:val="21"/>
                <w:highlight w:val="none"/>
              </w:rPr>
            </w:pPr>
          </w:p>
        </w:tc>
        <w:tc>
          <w:tcPr>
            <w:tcW w:w="1093" w:type="dxa"/>
            <w:vMerge w:val="continue"/>
            <w:vAlign w:val="center"/>
          </w:tcPr>
          <w:p>
            <w:pPr>
              <w:shd w:val="clear"/>
              <w:rPr>
                <w:rFonts w:ascii="宋体" w:hAnsi="宋体" w:eastAsia="宋体" w:cs="宋体"/>
                <w:color w:val="auto"/>
                <w:szCs w:val="21"/>
                <w:highlight w:val="none"/>
              </w:rPr>
            </w:pPr>
          </w:p>
        </w:tc>
        <w:tc>
          <w:tcPr>
            <w:tcW w:w="2063" w:type="dxa"/>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公称壁厚</w:t>
            </w:r>
          </w:p>
        </w:tc>
        <w:tc>
          <w:tcPr>
            <w:tcW w:w="4693" w:type="dxa"/>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GB/T 19812.1-2017/8.3.2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55" w:type="dxa"/>
            <w:vMerge w:val="continue"/>
            <w:vAlign w:val="center"/>
          </w:tcPr>
          <w:p>
            <w:pPr>
              <w:shd w:val="clear"/>
              <w:jc w:val="center"/>
              <w:rPr>
                <w:rFonts w:ascii="宋体" w:hAnsi="宋体" w:eastAsia="宋体" w:cs="宋体"/>
                <w:color w:val="auto"/>
                <w:szCs w:val="21"/>
                <w:highlight w:val="none"/>
              </w:rPr>
            </w:pPr>
          </w:p>
        </w:tc>
        <w:tc>
          <w:tcPr>
            <w:tcW w:w="1093" w:type="dxa"/>
            <w:vMerge w:val="continue"/>
            <w:vAlign w:val="center"/>
          </w:tcPr>
          <w:p>
            <w:pPr>
              <w:shd w:val="clear"/>
              <w:rPr>
                <w:rFonts w:ascii="宋体" w:hAnsi="宋体" w:eastAsia="宋体" w:cs="宋体"/>
                <w:color w:val="auto"/>
                <w:szCs w:val="21"/>
                <w:highlight w:val="none"/>
              </w:rPr>
            </w:pPr>
          </w:p>
        </w:tc>
        <w:tc>
          <w:tcPr>
            <w:tcW w:w="2063" w:type="dxa"/>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滴水孔间距偏差率</w:t>
            </w:r>
          </w:p>
        </w:tc>
        <w:tc>
          <w:tcPr>
            <w:tcW w:w="4693" w:type="dxa"/>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GB/T 19812.1-2017/8.3.3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55" w:type="dxa"/>
            <w:vAlign w:val="center"/>
          </w:tcPr>
          <w:p>
            <w:pPr>
              <w:shd w:val="clear"/>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156" w:type="dxa"/>
            <w:gridSpan w:val="2"/>
            <w:vAlign w:val="center"/>
          </w:tcPr>
          <w:p>
            <w:pPr>
              <w:shd w:val="clea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流量均匀性</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闭路法</w:t>
            </w:r>
            <w:r>
              <w:rPr>
                <w:rFonts w:hint="eastAsia" w:ascii="宋体" w:hAnsi="宋体" w:eastAsia="宋体" w:cs="宋体"/>
                <w:color w:val="auto"/>
                <w:szCs w:val="21"/>
                <w:highlight w:val="none"/>
                <w:lang w:eastAsia="zh-CN"/>
              </w:rPr>
              <w:t>）</w:t>
            </w:r>
          </w:p>
        </w:tc>
        <w:tc>
          <w:tcPr>
            <w:tcW w:w="4693" w:type="dxa"/>
            <w:vAlign w:val="center"/>
          </w:tcPr>
          <w:p>
            <w:pPr>
              <w:shd w:val="clea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GB/T 19812.1-2017/8.4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55" w:type="dxa"/>
            <w:vAlign w:val="center"/>
          </w:tcPr>
          <w:p>
            <w:pPr>
              <w:shd w:val="clear"/>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156" w:type="dxa"/>
            <w:gridSpan w:val="2"/>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流量和进水口压力之间的关系</w:t>
            </w:r>
          </w:p>
        </w:tc>
        <w:tc>
          <w:tcPr>
            <w:tcW w:w="4693" w:type="dxa"/>
            <w:vAlign w:val="center"/>
          </w:tcPr>
          <w:p>
            <w:pPr>
              <w:shd w:val="clea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GB/T 19812.1-2017/8.5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55" w:type="dxa"/>
            <w:vAlign w:val="center"/>
          </w:tcPr>
          <w:p>
            <w:pPr>
              <w:shd w:val="clear"/>
              <w:jc w:val="center"/>
              <w:rPr>
                <w:rFonts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156" w:type="dxa"/>
            <w:gridSpan w:val="2"/>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抗泥沙堵塞性能</w:t>
            </w:r>
          </w:p>
        </w:tc>
        <w:tc>
          <w:tcPr>
            <w:tcW w:w="4693" w:type="dxa"/>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GB/T 19812.1-2017/8.6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55" w:type="dxa"/>
            <w:vAlign w:val="center"/>
          </w:tcPr>
          <w:p>
            <w:pPr>
              <w:shd w:val="clear"/>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3156" w:type="dxa"/>
            <w:gridSpan w:val="2"/>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耐水压</w:t>
            </w:r>
          </w:p>
        </w:tc>
        <w:tc>
          <w:tcPr>
            <w:tcW w:w="4693" w:type="dxa"/>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GB/T 19812.1-2017/8.7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55" w:type="dxa"/>
            <w:vAlign w:val="center"/>
          </w:tcPr>
          <w:p>
            <w:pPr>
              <w:shd w:val="clear"/>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3156" w:type="dxa"/>
            <w:gridSpan w:val="2"/>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爆破压力</w:t>
            </w:r>
          </w:p>
        </w:tc>
        <w:tc>
          <w:tcPr>
            <w:tcW w:w="4693" w:type="dxa"/>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GB/T 19812.1-2017/8.8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55" w:type="dxa"/>
            <w:vAlign w:val="center"/>
          </w:tcPr>
          <w:p>
            <w:pPr>
              <w:shd w:val="clear"/>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3156" w:type="dxa"/>
            <w:gridSpan w:val="2"/>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耐拉拔性能</w:t>
            </w:r>
          </w:p>
        </w:tc>
        <w:tc>
          <w:tcPr>
            <w:tcW w:w="4693" w:type="dxa"/>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GB/T 19812.1-2017/8.9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55" w:type="dxa"/>
            <w:vAlign w:val="center"/>
          </w:tcPr>
          <w:p>
            <w:pPr>
              <w:shd w:val="clea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3156" w:type="dxa"/>
            <w:gridSpan w:val="2"/>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炭黑含量</w:t>
            </w:r>
          </w:p>
        </w:tc>
        <w:tc>
          <w:tcPr>
            <w:tcW w:w="4693" w:type="dxa"/>
            <w:vAlign w:val="center"/>
          </w:tcPr>
          <w:p>
            <w:pPr>
              <w:shd w:val="clear"/>
              <w:rPr>
                <w:rFonts w:ascii="宋体" w:hAnsi="宋体" w:eastAsia="宋体" w:cs="宋体"/>
                <w:color w:val="auto"/>
                <w:szCs w:val="21"/>
                <w:highlight w:val="none"/>
              </w:rPr>
            </w:pPr>
            <w:r>
              <w:rPr>
                <w:rFonts w:ascii="宋体" w:hAnsi="宋体" w:eastAsia="宋体" w:cs="宋体"/>
                <w:color w:val="auto"/>
                <w:szCs w:val="21"/>
                <w:highlight w:val="none"/>
              </w:rPr>
              <w:t>GB/T 13021-1991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55" w:type="dxa"/>
            <w:vAlign w:val="center"/>
          </w:tcPr>
          <w:p>
            <w:pPr>
              <w:shd w:val="clea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3156" w:type="dxa"/>
            <w:gridSpan w:val="2"/>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炭黑分散</w:t>
            </w:r>
          </w:p>
        </w:tc>
        <w:tc>
          <w:tcPr>
            <w:tcW w:w="4693" w:type="dxa"/>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GB/T 18251-2000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55" w:type="dxa"/>
            <w:vAlign w:val="center"/>
          </w:tcPr>
          <w:p>
            <w:pPr>
              <w:shd w:val="clea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3156" w:type="dxa"/>
            <w:gridSpan w:val="2"/>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氧化诱导时间</w:t>
            </w:r>
          </w:p>
        </w:tc>
        <w:tc>
          <w:tcPr>
            <w:tcW w:w="4693" w:type="dxa"/>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GB/T 19466.6-2009、GB/T 19812.1-2017/8.12</w:t>
            </w:r>
          </w:p>
        </w:tc>
      </w:tr>
    </w:tbl>
    <w:p>
      <w:pPr>
        <w:shd w:val="clear"/>
        <w:spacing w:line="360" w:lineRule="auto"/>
        <w:jc w:val="center"/>
        <w:rPr>
          <w:rFonts w:ascii="黑体" w:hAnsi="黑体" w:eastAsia="黑体" w:cs="黑体"/>
          <w:color w:val="auto"/>
          <w:szCs w:val="21"/>
          <w:highlight w:val="none"/>
        </w:rPr>
      </w:pPr>
      <w:r>
        <w:rPr>
          <w:rFonts w:hint="eastAsia" w:ascii="黑体" w:hAnsi="黑体" w:eastAsia="黑体" w:cs="黑体"/>
          <w:color w:val="auto"/>
          <w:szCs w:val="21"/>
          <w:highlight w:val="none"/>
        </w:rPr>
        <w:t>表</w:t>
      </w:r>
      <w:r>
        <w:rPr>
          <w:rFonts w:hint="eastAsia" w:ascii="黑体" w:hAnsi="黑体" w:eastAsia="黑体" w:cs="黑体"/>
          <w:color w:val="auto"/>
          <w:szCs w:val="21"/>
          <w:highlight w:val="none"/>
          <w:lang w:val="en-US" w:eastAsia="zh-CN"/>
        </w:rPr>
        <w:t>2</w:t>
      </w:r>
      <w:r>
        <w:rPr>
          <w:rFonts w:ascii="黑体" w:hAnsi="黑体" w:eastAsia="黑体" w:cs="黑体"/>
          <w:color w:val="auto"/>
          <w:szCs w:val="21"/>
          <w:highlight w:val="none"/>
        </w:rPr>
        <w:t xml:space="preserve"> </w:t>
      </w:r>
      <w:r>
        <w:rPr>
          <w:rFonts w:hint="eastAsia" w:ascii="黑体" w:hAnsi="黑体" w:eastAsia="黑体" w:cs="黑体"/>
          <w:bCs/>
          <w:color w:val="auto"/>
          <w:szCs w:val="21"/>
          <w:highlight w:val="none"/>
          <w:shd w:val="clear" w:color="auto" w:fill="FFFFFF"/>
        </w:rPr>
        <w:t xml:space="preserve"> </w:t>
      </w:r>
      <w:r>
        <w:rPr>
          <w:rFonts w:hint="eastAsia" w:ascii="黑体" w:hAnsi="黑体" w:eastAsia="黑体" w:cs="黑体"/>
          <w:bCs/>
          <w:color w:val="auto"/>
          <w:szCs w:val="21"/>
          <w:highlight w:val="none"/>
          <w:shd w:val="clear" w:color="auto" w:fill="FFFFFF"/>
          <w:lang w:val="en-US" w:eastAsia="zh-CN"/>
        </w:rPr>
        <w:t>内镶式</w:t>
      </w:r>
      <w:r>
        <w:rPr>
          <w:rFonts w:hint="eastAsia" w:ascii="黑体" w:hAnsi="黑体" w:eastAsia="黑体" w:cs="黑体"/>
          <w:bCs/>
          <w:color w:val="auto"/>
          <w:szCs w:val="21"/>
          <w:highlight w:val="none"/>
          <w:shd w:val="clear" w:color="auto" w:fill="FFFFFF"/>
        </w:rPr>
        <w:t>滴灌带样品的检测项目及检测方法依据</w:t>
      </w:r>
    </w:p>
    <w:tbl>
      <w:tblPr>
        <w:tblStyle w:val="8"/>
        <w:tblW w:w="8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1093"/>
        <w:gridCol w:w="2063"/>
        <w:gridCol w:w="4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55" w:type="dxa"/>
            <w:vAlign w:val="center"/>
          </w:tcPr>
          <w:p>
            <w:pPr>
              <w:shd w:val="clea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156" w:type="dxa"/>
            <w:gridSpan w:val="2"/>
            <w:vAlign w:val="center"/>
          </w:tcPr>
          <w:p>
            <w:pPr>
              <w:shd w:val="clea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检测项目</w:t>
            </w:r>
          </w:p>
        </w:tc>
        <w:tc>
          <w:tcPr>
            <w:tcW w:w="4693" w:type="dxa"/>
            <w:vAlign w:val="center"/>
          </w:tcPr>
          <w:p>
            <w:pPr>
              <w:shd w:val="clea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55" w:type="dxa"/>
            <w:vAlign w:val="center"/>
          </w:tcPr>
          <w:p>
            <w:pPr>
              <w:shd w:val="clea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156" w:type="dxa"/>
            <w:gridSpan w:val="2"/>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外观</w:t>
            </w:r>
          </w:p>
        </w:tc>
        <w:tc>
          <w:tcPr>
            <w:tcW w:w="4693" w:type="dxa"/>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GB/T 19812.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-2017/8.1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55" w:type="dxa"/>
            <w:vAlign w:val="center"/>
          </w:tcPr>
          <w:p>
            <w:pPr>
              <w:shd w:val="clea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156" w:type="dxa"/>
            <w:gridSpan w:val="2"/>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不透光性</w:t>
            </w:r>
          </w:p>
        </w:tc>
        <w:tc>
          <w:tcPr>
            <w:tcW w:w="4693" w:type="dxa"/>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GB/T 19812.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-2017/8.2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55" w:type="dxa"/>
            <w:vMerge w:val="restart"/>
            <w:vAlign w:val="center"/>
          </w:tcPr>
          <w:p>
            <w:pPr>
              <w:shd w:val="clear"/>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093" w:type="dxa"/>
            <w:vMerge w:val="restart"/>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规格尺寸</w:t>
            </w:r>
          </w:p>
        </w:tc>
        <w:tc>
          <w:tcPr>
            <w:tcW w:w="2063" w:type="dxa"/>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公称内径</w:t>
            </w:r>
          </w:p>
        </w:tc>
        <w:tc>
          <w:tcPr>
            <w:tcW w:w="4693" w:type="dxa"/>
            <w:vAlign w:val="center"/>
          </w:tcPr>
          <w:p>
            <w:pPr>
              <w:shd w:val="clea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GB/T 19812.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-2017/8.3.</w:t>
            </w:r>
            <w:r>
              <w:rPr>
                <w:rFonts w:hint="eastAsia" w:ascii="宋体" w:hAnsi="宋体" w:eastAsia="宋体" w:cs="宋体"/>
                <w:color w:val="auto"/>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55" w:type="dxa"/>
            <w:vMerge w:val="continue"/>
            <w:vAlign w:val="center"/>
          </w:tcPr>
          <w:p>
            <w:pPr>
              <w:shd w:val="clear"/>
              <w:jc w:val="center"/>
              <w:rPr>
                <w:rFonts w:ascii="宋体" w:hAnsi="宋体" w:eastAsia="宋体" w:cs="宋体"/>
                <w:color w:val="auto"/>
                <w:szCs w:val="21"/>
                <w:highlight w:val="none"/>
              </w:rPr>
            </w:pPr>
          </w:p>
        </w:tc>
        <w:tc>
          <w:tcPr>
            <w:tcW w:w="1093" w:type="dxa"/>
            <w:vMerge w:val="continue"/>
            <w:vAlign w:val="center"/>
          </w:tcPr>
          <w:p>
            <w:pPr>
              <w:shd w:val="clear"/>
              <w:rPr>
                <w:rFonts w:ascii="宋体" w:hAnsi="宋体" w:eastAsia="宋体" w:cs="宋体"/>
                <w:color w:val="auto"/>
                <w:szCs w:val="21"/>
                <w:highlight w:val="none"/>
              </w:rPr>
            </w:pPr>
          </w:p>
        </w:tc>
        <w:tc>
          <w:tcPr>
            <w:tcW w:w="2063" w:type="dxa"/>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公称壁厚</w:t>
            </w:r>
          </w:p>
        </w:tc>
        <w:tc>
          <w:tcPr>
            <w:tcW w:w="4693" w:type="dxa"/>
            <w:vAlign w:val="center"/>
          </w:tcPr>
          <w:p>
            <w:pPr>
              <w:shd w:val="clea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GB/T 19812.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-2017/8.3.</w:t>
            </w:r>
            <w:r>
              <w:rPr>
                <w:rFonts w:hint="eastAsia" w:ascii="宋体" w:hAnsi="宋体" w:eastAsia="宋体" w:cs="宋体"/>
                <w:color w:val="auto"/>
                <w:szCs w:val="21"/>
                <w:highlight w:val="none"/>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55" w:type="dxa"/>
            <w:vMerge w:val="continue"/>
            <w:vAlign w:val="center"/>
          </w:tcPr>
          <w:p>
            <w:pPr>
              <w:shd w:val="clear"/>
              <w:jc w:val="center"/>
              <w:rPr>
                <w:rFonts w:ascii="宋体" w:hAnsi="宋体" w:eastAsia="宋体" w:cs="宋体"/>
                <w:color w:val="auto"/>
                <w:szCs w:val="21"/>
                <w:highlight w:val="none"/>
              </w:rPr>
            </w:pPr>
          </w:p>
        </w:tc>
        <w:tc>
          <w:tcPr>
            <w:tcW w:w="1093" w:type="dxa"/>
            <w:vMerge w:val="continue"/>
            <w:vAlign w:val="center"/>
          </w:tcPr>
          <w:p>
            <w:pPr>
              <w:shd w:val="clear"/>
              <w:rPr>
                <w:rFonts w:ascii="宋体" w:hAnsi="宋体" w:eastAsia="宋体" w:cs="宋体"/>
                <w:color w:val="auto"/>
                <w:szCs w:val="21"/>
                <w:highlight w:val="none"/>
              </w:rPr>
            </w:pPr>
          </w:p>
        </w:tc>
        <w:tc>
          <w:tcPr>
            <w:tcW w:w="2063" w:type="dxa"/>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滴水孔间距偏差率</w:t>
            </w:r>
          </w:p>
        </w:tc>
        <w:tc>
          <w:tcPr>
            <w:tcW w:w="4693" w:type="dxa"/>
            <w:vAlign w:val="center"/>
          </w:tcPr>
          <w:p>
            <w:pPr>
              <w:shd w:val="clea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GB/T 19812.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-2017/8.3.</w:t>
            </w:r>
            <w:r>
              <w:rPr>
                <w:rFonts w:hint="eastAsia" w:ascii="宋体" w:hAnsi="宋体" w:eastAsia="宋体" w:cs="宋体"/>
                <w:color w:val="auto"/>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55" w:type="dxa"/>
            <w:vAlign w:val="center"/>
          </w:tcPr>
          <w:p>
            <w:pPr>
              <w:shd w:val="clear"/>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156" w:type="dxa"/>
            <w:gridSpan w:val="2"/>
            <w:vAlign w:val="center"/>
          </w:tcPr>
          <w:p>
            <w:pPr>
              <w:shd w:val="clea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流量均匀性</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闭路法</w:t>
            </w:r>
            <w:r>
              <w:rPr>
                <w:rFonts w:hint="eastAsia" w:ascii="宋体" w:hAnsi="宋体" w:eastAsia="宋体" w:cs="宋体"/>
                <w:color w:val="auto"/>
                <w:szCs w:val="21"/>
                <w:highlight w:val="none"/>
                <w:lang w:eastAsia="zh-CN"/>
              </w:rPr>
              <w:t>）</w:t>
            </w:r>
          </w:p>
        </w:tc>
        <w:tc>
          <w:tcPr>
            <w:tcW w:w="4693" w:type="dxa"/>
            <w:vAlign w:val="center"/>
          </w:tcPr>
          <w:p>
            <w:pPr>
              <w:shd w:val="clea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GB/T 19812.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-2017/8.4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55" w:type="dxa"/>
            <w:vAlign w:val="center"/>
          </w:tcPr>
          <w:p>
            <w:pPr>
              <w:shd w:val="clear"/>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156" w:type="dxa"/>
            <w:gridSpan w:val="2"/>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流量和进水口压力之间的关系</w:t>
            </w:r>
          </w:p>
        </w:tc>
        <w:tc>
          <w:tcPr>
            <w:tcW w:w="4693" w:type="dxa"/>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GB/T 19812.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-2017/8.5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55" w:type="dxa"/>
            <w:vAlign w:val="center"/>
          </w:tcPr>
          <w:p>
            <w:pPr>
              <w:shd w:val="clear"/>
              <w:jc w:val="center"/>
              <w:rPr>
                <w:rFonts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156" w:type="dxa"/>
            <w:gridSpan w:val="2"/>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抗泥沙堵塞性能</w:t>
            </w:r>
          </w:p>
        </w:tc>
        <w:tc>
          <w:tcPr>
            <w:tcW w:w="4693" w:type="dxa"/>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GB/T 19812.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-2017/8.6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55" w:type="dxa"/>
            <w:vAlign w:val="center"/>
          </w:tcPr>
          <w:p>
            <w:pPr>
              <w:shd w:val="clear"/>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3156" w:type="dxa"/>
            <w:gridSpan w:val="2"/>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耐水压</w:t>
            </w:r>
          </w:p>
        </w:tc>
        <w:tc>
          <w:tcPr>
            <w:tcW w:w="4693" w:type="dxa"/>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GB/T 19812.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-2017/8.7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55" w:type="dxa"/>
            <w:vAlign w:val="center"/>
          </w:tcPr>
          <w:p>
            <w:pPr>
              <w:shd w:val="clear"/>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3156" w:type="dxa"/>
            <w:gridSpan w:val="2"/>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爆破压力</w:t>
            </w:r>
          </w:p>
        </w:tc>
        <w:tc>
          <w:tcPr>
            <w:tcW w:w="4693" w:type="dxa"/>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GB/T 19812.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-2017/8.8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55" w:type="dxa"/>
            <w:vAlign w:val="center"/>
          </w:tcPr>
          <w:p>
            <w:pPr>
              <w:shd w:val="clear"/>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3156" w:type="dxa"/>
            <w:gridSpan w:val="2"/>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耐拉拔性能</w:t>
            </w:r>
          </w:p>
        </w:tc>
        <w:tc>
          <w:tcPr>
            <w:tcW w:w="4693" w:type="dxa"/>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GB/T 19812.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-2017/8.9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55" w:type="dxa"/>
            <w:vAlign w:val="center"/>
          </w:tcPr>
          <w:p>
            <w:pPr>
              <w:shd w:val="clea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3156" w:type="dxa"/>
            <w:gridSpan w:val="2"/>
            <w:vAlign w:val="center"/>
          </w:tcPr>
          <w:p>
            <w:pPr>
              <w:shd w:val="clea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人工老化性能</w:t>
            </w:r>
          </w:p>
        </w:tc>
        <w:tc>
          <w:tcPr>
            <w:tcW w:w="4693" w:type="dxa"/>
            <w:vAlign w:val="center"/>
          </w:tcPr>
          <w:p>
            <w:pPr>
              <w:shd w:val="clea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GB/T 19812.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-2017/8.</w:t>
            </w:r>
            <w:r>
              <w:rPr>
                <w:rFonts w:hint="eastAsia" w:ascii="宋体" w:hAnsi="宋体" w:eastAsia="宋体" w:cs="宋体"/>
                <w:color w:val="auto"/>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55" w:type="dxa"/>
            <w:vAlign w:val="center"/>
          </w:tcPr>
          <w:p>
            <w:pPr>
              <w:shd w:val="clea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3156" w:type="dxa"/>
            <w:gridSpan w:val="2"/>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炭黑含量</w:t>
            </w:r>
          </w:p>
        </w:tc>
        <w:tc>
          <w:tcPr>
            <w:tcW w:w="4693" w:type="dxa"/>
            <w:vAlign w:val="center"/>
          </w:tcPr>
          <w:p>
            <w:pPr>
              <w:shd w:val="clear"/>
              <w:rPr>
                <w:rFonts w:ascii="宋体" w:hAnsi="宋体" w:eastAsia="宋体" w:cs="宋体"/>
                <w:color w:val="auto"/>
                <w:szCs w:val="21"/>
                <w:highlight w:val="none"/>
              </w:rPr>
            </w:pPr>
            <w:r>
              <w:rPr>
                <w:rFonts w:ascii="宋体" w:hAnsi="宋体" w:eastAsia="宋体" w:cs="宋体"/>
                <w:color w:val="auto"/>
                <w:szCs w:val="21"/>
                <w:highlight w:val="none"/>
              </w:rPr>
              <w:t>GB/T 13021-1991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55" w:type="dxa"/>
            <w:vAlign w:val="center"/>
          </w:tcPr>
          <w:p>
            <w:pPr>
              <w:shd w:val="clea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p>
        </w:tc>
        <w:tc>
          <w:tcPr>
            <w:tcW w:w="3156" w:type="dxa"/>
            <w:gridSpan w:val="2"/>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炭黑分散</w:t>
            </w:r>
          </w:p>
        </w:tc>
        <w:tc>
          <w:tcPr>
            <w:tcW w:w="4693" w:type="dxa"/>
            <w:vAlign w:val="center"/>
          </w:tcPr>
          <w:p>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GB/T 18251-2000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55" w:type="dxa"/>
            <w:vAlign w:val="center"/>
          </w:tcPr>
          <w:p>
            <w:pPr>
              <w:shd w:val="clea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w:t>
            </w:r>
          </w:p>
        </w:tc>
        <w:tc>
          <w:tcPr>
            <w:tcW w:w="3156" w:type="dxa"/>
            <w:gridSpan w:val="2"/>
            <w:vAlign w:val="center"/>
          </w:tcPr>
          <w:p>
            <w:pPr>
              <w:shd w:val="clea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氧化诱导时间</w:t>
            </w:r>
          </w:p>
        </w:tc>
        <w:tc>
          <w:tcPr>
            <w:tcW w:w="4693" w:type="dxa"/>
            <w:vAlign w:val="center"/>
          </w:tcPr>
          <w:p>
            <w:pPr>
              <w:shd w:val="clea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GB/T 19466.6-2009、GB/T 19812.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-2017/8.1</w:t>
            </w:r>
            <w:r>
              <w:rPr>
                <w:rFonts w:hint="eastAsia" w:ascii="宋体" w:hAnsi="宋体" w:eastAsia="宋体" w:cs="宋体"/>
                <w:color w:val="auto"/>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55" w:type="dxa"/>
            <w:vAlign w:val="center"/>
          </w:tcPr>
          <w:p>
            <w:pPr>
              <w:shd w:val="clea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w:t>
            </w:r>
          </w:p>
        </w:tc>
        <w:tc>
          <w:tcPr>
            <w:tcW w:w="3156" w:type="dxa"/>
            <w:gridSpan w:val="2"/>
            <w:vAlign w:val="center"/>
          </w:tcPr>
          <w:p>
            <w:pPr>
              <w:shd w:val="clea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耐环境应力开裂性能</w:t>
            </w:r>
          </w:p>
        </w:tc>
        <w:tc>
          <w:tcPr>
            <w:tcW w:w="4693" w:type="dxa"/>
            <w:vAlign w:val="center"/>
          </w:tcPr>
          <w:p>
            <w:pPr>
              <w:shd w:val="clea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GB/T 15819-2006</w:t>
            </w:r>
          </w:p>
        </w:tc>
      </w:tr>
    </w:tbl>
    <w:p>
      <w:pPr>
        <w:keepNext w:val="0"/>
        <w:keepLines w:val="0"/>
        <w:pageBreakBefore w:val="0"/>
        <w:widowControl w:val="0"/>
        <w:shd w:val="clear"/>
        <w:kinsoku/>
        <w:wordWrap/>
        <w:overflowPunct/>
        <w:topLinePunct w:val="0"/>
        <w:autoSpaceDE/>
        <w:autoSpaceDN/>
        <w:bidi w:val="0"/>
        <w:spacing w:line="360" w:lineRule="auto"/>
        <w:ind w:right="0"/>
        <w:jc w:val="left"/>
        <w:textAlignment w:val="auto"/>
        <w:rPr>
          <w:rFonts w:hint="eastAsia" w:ascii="黑体" w:hAnsi="黑体" w:eastAsia="黑体" w:cs="方正黑体简体"/>
          <w:color w:val="auto"/>
          <w:szCs w:val="21"/>
          <w:highlight w:val="none"/>
        </w:rPr>
      </w:pPr>
    </w:p>
    <w:p>
      <w:pPr>
        <w:keepNext w:val="0"/>
        <w:keepLines w:val="0"/>
        <w:pageBreakBefore w:val="0"/>
        <w:widowControl w:val="0"/>
        <w:shd w:val="clear"/>
        <w:kinsoku/>
        <w:wordWrap/>
        <w:overflowPunct/>
        <w:topLinePunct w:val="0"/>
        <w:autoSpaceDE/>
        <w:autoSpaceDN/>
        <w:bidi w:val="0"/>
        <w:spacing w:line="360" w:lineRule="auto"/>
        <w:ind w:right="0"/>
        <w:jc w:val="left"/>
        <w:textAlignment w:val="auto"/>
        <w:rPr>
          <w:rFonts w:ascii="黑体" w:hAnsi="黑体" w:eastAsia="黑体" w:cs="方正黑体简体"/>
          <w:color w:val="auto"/>
          <w:szCs w:val="21"/>
          <w:highlight w:val="none"/>
        </w:rPr>
      </w:pPr>
      <w:r>
        <w:rPr>
          <w:rFonts w:hint="eastAsia" w:ascii="黑体" w:hAnsi="黑体" w:eastAsia="黑体" w:cs="方正黑体简体"/>
          <w:color w:val="auto"/>
          <w:szCs w:val="21"/>
          <w:highlight w:val="none"/>
        </w:rPr>
        <w:t>3 判定规则</w:t>
      </w:r>
    </w:p>
    <w:p>
      <w:pPr>
        <w:keepNext w:val="0"/>
        <w:keepLines w:val="0"/>
        <w:pageBreakBefore w:val="0"/>
        <w:widowControl w:val="0"/>
        <w:shd w:val="clear"/>
        <w:kinsoku/>
        <w:wordWrap/>
        <w:overflowPunct/>
        <w:topLinePunct w:val="0"/>
        <w:autoSpaceDE/>
        <w:autoSpaceDN/>
        <w:bidi w:val="0"/>
        <w:spacing w:line="360" w:lineRule="auto"/>
        <w:ind w:right="0"/>
        <w:jc w:val="left"/>
        <w:textAlignment w:val="auto"/>
        <w:rPr>
          <w:rFonts w:ascii="黑体" w:hAnsi="黑体" w:eastAsia="黑体" w:cs="方正黑体简体"/>
          <w:color w:val="auto"/>
          <w:szCs w:val="21"/>
          <w:highlight w:val="none"/>
        </w:rPr>
      </w:pPr>
      <w:r>
        <w:rPr>
          <w:rFonts w:hint="eastAsia" w:ascii="黑体" w:hAnsi="黑体" w:eastAsia="黑体" w:cs="方正黑体简体"/>
          <w:color w:val="auto"/>
          <w:szCs w:val="21"/>
          <w:highlight w:val="none"/>
        </w:rPr>
        <w:t>3.1 依据标准</w:t>
      </w:r>
    </w:p>
    <w:p>
      <w:pPr>
        <w:keepNext w:val="0"/>
        <w:keepLines w:val="0"/>
        <w:pageBreakBefore w:val="0"/>
        <w:widowControl w:val="0"/>
        <w:shd w:val="clear"/>
        <w:kinsoku/>
        <w:wordWrap/>
        <w:overflowPunct/>
        <w:topLinePunct w:val="0"/>
        <w:autoSpaceDE/>
        <w:autoSpaceDN/>
        <w:bidi w:val="0"/>
        <w:spacing w:line="360" w:lineRule="auto"/>
        <w:ind w:right="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GB/T 19812.1-2017《塑料节水灌溉器材 第1部分：单翼迷宫式滴灌带》</w:t>
      </w:r>
    </w:p>
    <w:p>
      <w:pPr>
        <w:keepNext w:val="0"/>
        <w:keepLines w:val="0"/>
        <w:pageBreakBefore w:val="0"/>
        <w:widowControl w:val="0"/>
        <w:shd w:val="clear"/>
        <w:kinsoku/>
        <w:wordWrap/>
        <w:overflowPunct/>
        <w:topLinePunct w:val="0"/>
        <w:autoSpaceDE/>
        <w:autoSpaceDN/>
        <w:bidi w:val="0"/>
        <w:spacing w:line="360" w:lineRule="auto"/>
        <w:ind w:right="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GB/T 19812.3-2017《塑料节水灌溉器材 第3部分：内镶式滴灌管及滴灌带》</w:t>
      </w:r>
    </w:p>
    <w:p>
      <w:pPr>
        <w:keepNext w:val="0"/>
        <w:keepLines w:val="0"/>
        <w:pageBreakBefore w:val="0"/>
        <w:widowControl w:val="0"/>
        <w:shd w:val="clear"/>
        <w:kinsoku/>
        <w:wordWrap/>
        <w:overflowPunct/>
        <w:topLinePunct w:val="0"/>
        <w:autoSpaceDE/>
        <w:autoSpaceDN/>
        <w:bidi w:val="0"/>
        <w:spacing w:line="360" w:lineRule="auto"/>
        <w:ind w:right="0"/>
        <w:jc w:val="left"/>
        <w:textAlignment w:val="auto"/>
        <w:rPr>
          <w:rFonts w:ascii="黑体" w:hAnsi="黑体" w:eastAsia="黑体" w:cs="方正黑体简体"/>
          <w:color w:val="auto"/>
          <w:szCs w:val="21"/>
          <w:highlight w:val="none"/>
        </w:rPr>
      </w:pPr>
      <w:r>
        <w:rPr>
          <w:rFonts w:hint="eastAsia" w:ascii="黑体" w:hAnsi="黑体" w:eastAsia="黑体" w:cs="方正黑体简体"/>
          <w:color w:val="auto"/>
          <w:szCs w:val="21"/>
          <w:highlight w:val="none"/>
        </w:rPr>
        <w:t>3.2 判定原则</w:t>
      </w:r>
    </w:p>
    <w:p>
      <w:pPr>
        <w:keepNext w:val="0"/>
        <w:keepLines w:val="0"/>
        <w:pageBreakBefore w:val="0"/>
        <w:widowControl w:val="0"/>
        <w:shd w:val="clear"/>
        <w:kinsoku/>
        <w:wordWrap/>
        <w:overflowPunct/>
        <w:topLinePunct w:val="0"/>
        <w:autoSpaceDE/>
        <w:autoSpaceDN/>
        <w:bidi w:val="0"/>
        <w:spacing w:line="360" w:lineRule="auto"/>
        <w:ind w:right="0"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经检验，检验项目全部合格，判定为被抽查产品合格；检验项目中任一项或一项以上不合格，判定为被抽查产品不合格。</w:t>
      </w:r>
    </w:p>
    <w:p>
      <w:pPr>
        <w:keepNext w:val="0"/>
        <w:keepLines w:val="0"/>
        <w:pageBreakBefore w:val="0"/>
        <w:widowControl w:val="0"/>
        <w:shd w:val="clear"/>
        <w:kinsoku/>
        <w:wordWrap/>
        <w:overflowPunct/>
        <w:topLinePunct w:val="0"/>
        <w:autoSpaceDE/>
        <w:autoSpaceDN/>
        <w:bidi w:val="0"/>
        <w:spacing w:line="360" w:lineRule="auto"/>
        <w:ind w:right="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所检项目检验结果不合格，应在检验样品中取双倍试样对不合格项目进行复验，复验结果仍不合格则判定为不合格。</w:t>
      </w:r>
    </w:p>
    <w:p>
      <w:pPr>
        <w:keepNext w:val="0"/>
        <w:keepLines w:val="0"/>
        <w:pageBreakBefore w:val="0"/>
        <w:widowControl w:val="0"/>
        <w:shd w:val="clear"/>
        <w:kinsoku/>
        <w:wordWrap/>
        <w:overflowPunct/>
        <w:topLinePunct w:val="0"/>
        <w:autoSpaceDE/>
        <w:autoSpaceDN/>
        <w:bidi w:val="0"/>
        <w:spacing w:line="360" w:lineRule="auto"/>
        <w:ind w:right="0"/>
        <w:jc w:val="left"/>
        <w:textAlignment w:val="auto"/>
        <w:rPr>
          <w:rFonts w:ascii="黑体" w:hAnsi="黑体" w:eastAsia="黑体" w:cs="方正黑体简体"/>
          <w:color w:val="auto"/>
          <w:szCs w:val="21"/>
          <w:highlight w:val="none"/>
        </w:rPr>
      </w:pPr>
      <w:r>
        <w:rPr>
          <w:rFonts w:hint="eastAsia" w:ascii="黑体" w:hAnsi="黑体" w:eastAsia="黑体" w:cs="方正黑体简体"/>
          <w:color w:val="auto"/>
          <w:szCs w:val="21"/>
          <w:highlight w:val="none"/>
        </w:rPr>
        <w:t>3.3 结论用语</w:t>
      </w:r>
    </w:p>
    <w:p>
      <w:pPr>
        <w:keepNext w:val="0"/>
        <w:keepLines w:val="0"/>
        <w:pageBreakBefore w:val="0"/>
        <w:widowControl w:val="0"/>
        <w:shd w:val="clear"/>
        <w:kinsoku/>
        <w:wordWrap/>
        <w:overflowPunct/>
        <w:topLinePunct w:val="0"/>
        <w:autoSpaceDE/>
        <w:autoSpaceDN/>
        <w:bidi w:val="0"/>
        <w:adjustRightInd/>
        <w:snapToGrid/>
        <w:spacing w:line="360" w:lineRule="auto"/>
        <w:ind w:right="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3.3.1 所检项目全部合格时：</w:t>
      </w:r>
    </w:p>
    <w:p>
      <w:pPr>
        <w:keepNext w:val="0"/>
        <w:keepLines w:val="0"/>
        <w:pageBreakBefore w:val="0"/>
        <w:widowControl w:val="0"/>
        <w:shd w:val="clear"/>
        <w:kinsoku/>
        <w:wordWrap/>
        <w:overflowPunct/>
        <w:topLinePunct w:val="0"/>
        <w:autoSpaceDE/>
        <w:autoSpaceDN/>
        <w:bidi w:val="0"/>
        <w:adjustRightInd/>
        <w:snapToGrid/>
        <w:spacing w:line="360" w:lineRule="auto"/>
        <w:ind w:right="0"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经抽样检验，所检项目符合GB/T 19812.1-2017</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GB/T 19812.3-2017</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标准，依据《202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年吐鲁番市滴灌带产品质量监督抽查实施细则》，判定为</w:t>
      </w:r>
      <w:r>
        <w:rPr>
          <w:rFonts w:hint="eastAsia" w:ascii="宋体" w:hAnsi="宋体" w:eastAsia="宋体" w:cs="宋体"/>
          <w:color w:val="auto"/>
          <w:szCs w:val="21"/>
          <w:highlight w:val="none"/>
          <w:lang w:val="en-US" w:eastAsia="zh-CN"/>
        </w:rPr>
        <w:t>未发现不</w:t>
      </w:r>
      <w:r>
        <w:rPr>
          <w:rFonts w:hint="eastAsia" w:ascii="宋体" w:hAnsi="宋体" w:eastAsia="宋体" w:cs="宋体"/>
          <w:color w:val="auto"/>
          <w:szCs w:val="21"/>
          <w:highlight w:val="none"/>
        </w:rPr>
        <w:t>合格。</w:t>
      </w:r>
    </w:p>
    <w:p>
      <w:pPr>
        <w:keepNext w:val="0"/>
        <w:keepLines w:val="0"/>
        <w:pageBreakBefore w:val="0"/>
        <w:widowControl w:val="0"/>
        <w:shd w:val="clear"/>
        <w:kinsoku/>
        <w:wordWrap/>
        <w:overflowPunct/>
        <w:topLinePunct w:val="0"/>
        <w:autoSpaceDE/>
        <w:autoSpaceDN/>
        <w:bidi w:val="0"/>
        <w:adjustRightInd/>
        <w:snapToGrid/>
        <w:spacing w:line="360" w:lineRule="auto"/>
        <w:ind w:right="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3.3.2 所检项目至少1项不合格时：</w:t>
      </w:r>
    </w:p>
    <w:p>
      <w:pPr>
        <w:keepNext w:val="0"/>
        <w:keepLines w:val="0"/>
        <w:pageBreakBefore w:val="0"/>
        <w:widowControl w:val="0"/>
        <w:shd w:val="clear"/>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经抽样检验，××项目不符合GB/T 19812.1-201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GB/T 19812.3-2017</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标准，依据《202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年吐鲁番市滴灌带产品质量监督抽查实施细则》，判定为不合格。</w:t>
      </w:r>
    </w:p>
    <w:p>
      <w:pPr>
        <w:keepNext w:val="0"/>
        <w:keepLines w:val="0"/>
        <w:pageBreakBefore w:val="0"/>
        <w:widowControl w:val="0"/>
        <w:shd w:val="clear"/>
        <w:kinsoku/>
        <w:wordWrap/>
        <w:overflowPunct/>
        <w:topLinePunct w:val="0"/>
        <w:autoSpaceDE/>
        <w:autoSpaceDN/>
        <w:bidi w:val="0"/>
        <w:adjustRightInd w:val="0"/>
        <w:snapToGrid w:val="0"/>
        <w:spacing w:line="360" w:lineRule="auto"/>
        <w:ind w:right="0"/>
        <w:textAlignment w:val="auto"/>
        <w:rPr>
          <w:rFonts w:ascii="黑体" w:hAnsi="宋体" w:eastAsia="黑体"/>
          <w:color w:val="000000" w:themeColor="text1"/>
          <w:szCs w:val="21"/>
          <w:highlight w:val="none"/>
          <w14:textFill>
            <w14:solidFill>
              <w14:schemeClr w14:val="tx1"/>
            </w14:solidFill>
          </w14:textFill>
        </w:rPr>
      </w:pPr>
      <w:r>
        <w:rPr>
          <w:rFonts w:hint="eastAsia" w:ascii="黑体" w:hAnsi="宋体" w:eastAsia="黑体"/>
          <w:color w:val="000000" w:themeColor="text1"/>
          <w:szCs w:val="21"/>
          <w:highlight w:val="none"/>
          <w:lang w:val="en-US" w:eastAsia="zh-CN"/>
          <w14:textFill>
            <w14:solidFill>
              <w14:schemeClr w14:val="tx1"/>
            </w14:solidFill>
          </w14:textFill>
        </w:rPr>
        <w:t>4</w:t>
      </w:r>
      <w:r>
        <w:rPr>
          <w:rFonts w:hint="eastAsia" w:ascii="黑体" w:hAnsi="宋体" w:eastAsia="黑体"/>
          <w:color w:val="000000" w:themeColor="text1"/>
          <w:szCs w:val="21"/>
          <w:highlight w:val="none"/>
          <w14:textFill>
            <w14:solidFill>
              <w14:schemeClr w14:val="tx1"/>
            </w14:solidFill>
          </w14:textFill>
        </w:rPr>
        <w:t xml:space="preserve"> 异议处理</w:t>
      </w:r>
    </w:p>
    <w:p>
      <w:pPr>
        <w:keepNext w:val="0"/>
        <w:keepLines w:val="0"/>
        <w:pageBreakBefore w:val="0"/>
        <w:widowControl w:val="0"/>
        <w:shd w:val="clear"/>
        <w:kinsoku/>
        <w:wordWrap/>
        <w:overflowPunct/>
        <w:topLinePunct w:val="0"/>
        <w:autoSpaceDE/>
        <w:autoSpaceDN/>
        <w:bidi w:val="0"/>
        <w:adjustRightInd w:val="0"/>
        <w:snapToGrid w:val="0"/>
        <w:spacing w:line="360" w:lineRule="auto"/>
        <w:ind w:right="0" w:firstLine="420" w:firstLineChars="200"/>
        <w:textAlignment w:val="auto"/>
        <w:rPr>
          <w:rFonts w:hAnsi="宋体"/>
          <w:color w:val="000000" w:themeColor="text1"/>
          <w:kern w:val="0"/>
          <w:szCs w:val="21"/>
          <w:highlight w:val="none"/>
          <w14:textFill>
            <w14:solidFill>
              <w14:schemeClr w14:val="tx1"/>
            </w14:solidFill>
          </w14:textFill>
        </w:rPr>
      </w:pPr>
      <w:r>
        <w:rPr>
          <w:rFonts w:hint="eastAsia" w:hAnsi="宋体"/>
          <w:color w:val="000000" w:themeColor="text1"/>
          <w:kern w:val="0"/>
          <w:szCs w:val="21"/>
          <w:highlight w:val="none"/>
          <w14:textFill>
            <w14:solidFill>
              <w14:schemeClr w14:val="tx1"/>
            </w14:solidFill>
          </w14:textFill>
        </w:rPr>
        <w:t>检验机构在出具不合格产品检验报告3个工作日内，将不合格产品检验报告寄</w:t>
      </w:r>
      <w:r>
        <w:rPr>
          <w:rFonts w:hint="eastAsia" w:hAnsi="宋体"/>
          <w:color w:val="000000" w:themeColor="text1"/>
          <w:kern w:val="0"/>
          <w:szCs w:val="21"/>
          <w:highlight w:val="none"/>
          <w:lang w:val="en-US" w:eastAsia="zh-CN"/>
          <w14:textFill>
            <w14:solidFill>
              <w14:schemeClr w14:val="tx1"/>
            </w14:solidFill>
          </w14:textFill>
        </w:rPr>
        <w:t>报</w:t>
      </w:r>
      <w:r>
        <w:rPr>
          <w:rFonts w:hint="eastAsia" w:hAnsi="宋体"/>
          <w:color w:val="000000" w:themeColor="text1"/>
          <w:kern w:val="0"/>
          <w:szCs w:val="21"/>
          <w:highlight w:val="none"/>
          <w14:textFill>
            <w14:solidFill>
              <w14:schemeClr w14:val="tx1"/>
            </w14:solidFill>
          </w14:textFill>
        </w:rPr>
        <w:t>送组织监督抽查单位。对判定不合格产品提出异议时，按以下方式进行：</w:t>
      </w:r>
    </w:p>
    <w:p>
      <w:pPr>
        <w:keepNext w:val="0"/>
        <w:keepLines w:val="0"/>
        <w:pageBreakBefore w:val="0"/>
        <w:widowControl w:val="0"/>
        <w:shd w:val="clear"/>
        <w:kinsoku/>
        <w:wordWrap/>
        <w:overflowPunct/>
        <w:topLinePunct w:val="0"/>
        <w:autoSpaceDE/>
        <w:autoSpaceDN/>
        <w:bidi w:val="0"/>
        <w:spacing w:line="360" w:lineRule="auto"/>
        <w:ind w:right="0"/>
        <w:jc w:val="lef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4.1</w:t>
      </w:r>
      <w:r>
        <w:rPr>
          <w:rFonts w:hint="eastAsia" w:ascii="宋体" w:hAnsi="宋体" w:eastAsia="宋体" w:cs="宋体"/>
          <w:szCs w:val="21"/>
          <w:highlight w:val="none"/>
        </w:rPr>
        <w:t>核查不合格项目相关证据，能够以记录（纸质记录或电子记录或影像记录）或与不合格项目相关联的其它信息证据证明，做出维持原检验结论的结论。</w:t>
      </w:r>
    </w:p>
    <w:p>
      <w:pPr>
        <w:keepNext w:val="0"/>
        <w:keepLines w:val="0"/>
        <w:pageBreakBefore w:val="0"/>
        <w:widowControl w:val="0"/>
        <w:shd w:val="clear"/>
        <w:kinsoku/>
        <w:wordWrap/>
        <w:overflowPunct/>
        <w:topLinePunct w:val="0"/>
        <w:autoSpaceDE/>
        <w:autoSpaceDN/>
        <w:bidi w:val="0"/>
        <w:spacing w:line="360" w:lineRule="auto"/>
        <w:ind w:right="0"/>
        <w:jc w:val="lef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.2需要复检并具备检验条件的，处理企业异议的</w:t>
      </w:r>
      <w:r>
        <w:rPr>
          <w:rFonts w:hint="eastAsia" w:ascii="宋体" w:hAnsi="宋体" w:eastAsia="宋体" w:cs="宋体"/>
          <w:szCs w:val="21"/>
          <w:highlight w:val="none"/>
          <w:lang w:val="en-US" w:eastAsia="zh-CN"/>
        </w:rPr>
        <w:t>吐鲁番市市场监督管理局</w:t>
      </w:r>
      <w:r>
        <w:rPr>
          <w:rFonts w:hint="eastAsia" w:ascii="宋体" w:hAnsi="宋体" w:eastAsia="宋体" w:cs="宋体"/>
          <w:szCs w:val="21"/>
          <w:highlight w:val="none"/>
        </w:rPr>
        <w:t>指定检验机构按原监督抽查实施细则对抽取的备用样品组织复检。复检结论为最终结论。</w:t>
      </w:r>
    </w:p>
    <w:p>
      <w:pPr>
        <w:keepNext w:val="0"/>
        <w:keepLines w:val="0"/>
        <w:pageBreakBefore w:val="0"/>
        <w:widowControl w:val="0"/>
        <w:shd w:val="clear"/>
        <w:kinsoku/>
        <w:wordWrap/>
        <w:overflowPunct/>
        <w:topLinePunct w:val="0"/>
        <w:autoSpaceDE/>
        <w:autoSpaceDN/>
        <w:bidi w:val="0"/>
        <w:adjustRightInd w:val="0"/>
        <w:snapToGrid w:val="0"/>
        <w:spacing w:line="360" w:lineRule="auto"/>
        <w:ind w:right="0"/>
        <w:textAlignment w:val="auto"/>
        <w:rPr>
          <w:rFonts w:hint="eastAsia" w:ascii="黑体" w:hAnsi="宋体" w:eastAsia="黑体"/>
          <w:color w:val="000000" w:themeColor="text1"/>
          <w:szCs w:val="21"/>
          <w:highlight w:val="none"/>
          <w:lang w:val="en-US" w:eastAsia="zh-CN"/>
          <w14:textFill>
            <w14:solidFill>
              <w14:schemeClr w14:val="tx1"/>
            </w14:solidFill>
          </w14:textFill>
        </w:rPr>
      </w:pPr>
      <w:r>
        <w:rPr>
          <w:rFonts w:hint="eastAsia" w:ascii="黑体" w:hAnsi="宋体" w:eastAsia="黑体"/>
          <w:color w:val="000000" w:themeColor="text1"/>
          <w:szCs w:val="21"/>
          <w:highlight w:val="none"/>
          <w:lang w:val="en-US" w:eastAsia="zh-CN"/>
          <w14:textFill>
            <w14:solidFill>
              <w14:schemeClr w14:val="tx1"/>
            </w14:solidFill>
          </w14:textFill>
        </w:rPr>
        <w:t>5 附则</w:t>
      </w:r>
    </w:p>
    <w:p>
      <w:pPr>
        <w:keepNext w:val="0"/>
        <w:keepLines w:val="0"/>
        <w:pageBreakBefore w:val="0"/>
        <w:widowControl w:val="0"/>
        <w:shd w:val="clear"/>
        <w:kinsoku/>
        <w:wordWrap/>
        <w:overflowPunct/>
        <w:topLinePunct w:val="0"/>
        <w:autoSpaceDE/>
        <w:autoSpaceDN/>
        <w:bidi w:val="0"/>
        <w:adjustRightInd w:val="0"/>
        <w:snapToGrid w:val="0"/>
        <w:spacing w:line="360" w:lineRule="auto"/>
        <w:ind w:right="0" w:firstLine="420" w:firstLineChars="200"/>
        <w:textAlignment w:val="auto"/>
        <w:rPr>
          <w:rFonts w:hint="eastAsia" w:hAnsi="宋体"/>
          <w:color w:val="000000" w:themeColor="text1"/>
          <w:kern w:val="0"/>
          <w:szCs w:val="21"/>
          <w:highlight w:val="none"/>
          <w14:textFill>
            <w14:solidFill>
              <w14:schemeClr w14:val="tx1"/>
            </w14:solidFill>
          </w14:textFill>
        </w:rPr>
      </w:pPr>
      <w:r>
        <w:rPr>
          <w:rFonts w:hint="eastAsia" w:hAnsi="宋体"/>
          <w:color w:val="000000" w:themeColor="text1"/>
          <w:kern w:val="0"/>
          <w:szCs w:val="21"/>
          <w:highlight w:val="none"/>
          <w14:textFill>
            <w14:solidFill>
              <w14:schemeClr w14:val="tx1"/>
            </w14:solidFill>
          </w14:textFill>
        </w:rPr>
        <w:t>本实施细则由</w:t>
      </w:r>
      <w:r>
        <w:rPr>
          <w:rFonts w:hint="eastAsia" w:hAnsi="宋体"/>
          <w:color w:val="000000" w:themeColor="text1"/>
          <w:kern w:val="0"/>
          <w:szCs w:val="21"/>
          <w:highlight w:val="none"/>
          <w:lang w:val="en-US" w:eastAsia="zh-CN"/>
          <w14:textFill>
            <w14:solidFill>
              <w14:schemeClr w14:val="tx1"/>
            </w14:solidFill>
          </w14:textFill>
        </w:rPr>
        <w:t>新疆吐鲁番自然环境试验研究中心</w:t>
      </w:r>
      <w:r>
        <w:rPr>
          <w:rFonts w:hint="eastAsia" w:hAnsi="宋体"/>
          <w:color w:val="000000" w:themeColor="text1"/>
          <w:kern w:val="0"/>
          <w:szCs w:val="21"/>
          <w:highlight w:val="none"/>
          <w14:textFill>
            <w14:solidFill>
              <w14:schemeClr w14:val="tx1"/>
            </w14:solidFill>
          </w14:textFill>
        </w:rPr>
        <w:t>编制，</w:t>
      </w:r>
      <w:r>
        <w:rPr>
          <w:rFonts w:hint="eastAsia" w:hAnsi="宋体"/>
          <w:color w:val="000000" w:themeColor="text1"/>
          <w:kern w:val="0"/>
          <w:szCs w:val="21"/>
          <w:highlight w:val="none"/>
          <w:lang w:val="en-US" w:eastAsia="zh-CN"/>
          <w14:textFill>
            <w14:solidFill>
              <w14:schemeClr w14:val="tx1"/>
            </w14:solidFill>
          </w14:textFill>
        </w:rPr>
        <w:t>吐鲁番市</w:t>
      </w:r>
      <w:r>
        <w:rPr>
          <w:rFonts w:hint="eastAsia" w:hAnsi="宋体"/>
          <w:color w:val="000000" w:themeColor="text1"/>
          <w:kern w:val="0"/>
          <w:szCs w:val="21"/>
          <w:highlight w:val="none"/>
          <w14:textFill>
            <w14:solidFill>
              <w14:schemeClr w14:val="tx1"/>
            </w14:solidFill>
          </w14:textFill>
        </w:rPr>
        <w:t>市场监督管理局批准发布</w:t>
      </w:r>
      <w:r>
        <w:rPr>
          <w:rFonts w:hint="eastAsia" w:hAnsi="宋体"/>
          <w:color w:val="000000" w:themeColor="text1"/>
          <w:kern w:val="0"/>
          <w:szCs w:val="21"/>
          <w:highlight w:val="none"/>
          <w:lang w:eastAsia="zh-CN"/>
          <w14:textFill>
            <w14:solidFill>
              <w14:schemeClr w14:val="tx1"/>
            </w14:solidFill>
          </w14:textFill>
        </w:rPr>
        <w:t>。</w:t>
      </w:r>
      <w:r>
        <w:rPr>
          <w:rFonts w:hint="eastAsia" w:hAnsi="宋体"/>
          <w:color w:val="000000" w:themeColor="text1"/>
          <w:kern w:val="0"/>
          <w:szCs w:val="21"/>
          <w:highlight w:val="none"/>
          <w14:textFill>
            <w14:solidFill>
              <w14:schemeClr w14:val="tx1"/>
            </w14:solidFill>
          </w14:textFill>
        </w:rPr>
        <w:t>实施细则涉及的技术问题由</w:t>
      </w:r>
      <w:r>
        <w:rPr>
          <w:rFonts w:hint="eastAsia" w:hAnsi="宋体"/>
          <w:color w:val="000000" w:themeColor="text1"/>
          <w:kern w:val="0"/>
          <w:szCs w:val="21"/>
          <w:highlight w:val="none"/>
          <w:lang w:val="en-US" w:eastAsia="zh-CN"/>
          <w14:textFill>
            <w14:solidFill>
              <w14:schemeClr w14:val="tx1"/>
            </w14:solidFill>
          </w14:textFill>
        </w:rPr>
        <w:t>新疆吐鲁番自然环境试验研究中心</w:t>
      </w:r>
      <w:r>
        <w:rPr>
          <w:rFonts w:hint="eastAsia" w:hAnsi="宋体"/>
          <w:color w:val="000000" w:themeColor="text1"/>
          <w:kern w:val="0"/>
          <w:szCs w:val="21"/>
          <w:highlight w:val="none"/>
          <w14:textFill>
            <w14:solidFill>
              <w14:schemeClr w14:val="tx1"/>
            </w14:solidFill>
          </w14:textFill>
        </w:rPr>
        <w:t>负责解释。</w:t>
      </w:r>
    </w:p>
    <w:p>
      <w:pPr>
        <w:keepNext w:val="0"/>
        <w:keepLines w:val="0"/>
        <w:pageBreakBefore w:val="0"/>
        <w:widowControl w:val="0"/>
        <w:shd w:val="clear"/>
        <w:kinsoku/>
        <w:wordWrap/>
        <w:overflowPunct/>
        <w:topLinePunct w:val="0"/>
        <w:autoSpaceDE/>
        <w:autoSpaceDN/>
        <w:bidi w:val="0"/>
        <w:adjustRightInd w:val="0"/>
        <w:snapToGrid w:val="0"/>
        <w:spacing w:line="360" w:lineRule="auto"/>
        <w:ind w:right="0" w:firstLine="420" w:firstLineChars="200"/>
        <w:textAlignment w:val="auto"/>
        <w:rPr>
          <w:rFonts w:hint="default" w:hAnsi="宋体" w:eastAsiaTheme="minorEastAsia"/>
          <w:color w:val="000000" w:themeColor="text1"/>
          <w:kern w:val="0"/>
          <w:szCs w:val="21"/>
          <w:highlight w:val="none"/>
          <w:lang w:val="en-US" w:eastAsia="zh-CN"/>
          <w14:textFill>
            <w14:solidFill>
              <w14:schemeClr w14:val="tx1"/>
            </w14:solidFill>
          </w14:textFill>
        </w:rPr>
      </w:pPr>
      <w:r>
        <w:rPr>
          <w:rFonts w:hint="eastAsia" w:hAnsi="宋体"/>
          <w:color w:val="000000" w:themeColor="text1"/>
          <w:kern w:val="0"/>
          <w:szCs w:val="21"/>
          <w:highlight w:val="none"/>
          <w14:textFill>
            <w14:solidFill>
              <w14:schemeClr w14:val="tx1"/>
            </w14:solidFill>
          </w14:textFill>
        </w:rPr>
        <w:t>细则起草人：</w:t>
      </w:r>
      <w:r>
        <w:rPr>
          <w:rFonts w:hint="eastAsia" w:hAnsi="宋体"/>
          <w:color w:val="000000" w:themeColor="text1"/>
          <w:kern w:val="0"/>
          <w:szCs w:val="21"/>
          <w:highlight w:val="none"/>
          <w:lang w:val="en-US" w:eastAsia="zh-CN"/>
          <w14:textFill>
            <w14:solidFill>
              <w14:schemeClr w14:val="tx1"/>
            </w14:solidFill>
          </w14:textFill>
        </w:rPr>
        <w:t>王力、吐尔逊</w:t>
      </w:r>
      <w:r>
        <w:rPr>
          <w:rFonts w:hint="eastAsia" w:ascii="微软雅黑" w:hAnsi="微软雅黑" w:eastAsia="微软雅黑" w:cs="微软雅黑"/>
          <w:color w:val="000000" w:themeColor="text1"/>
          <w:kern w:val="0"/>
          <w:szCs w:val="21"/>
          <w:highlight w:val="none"/>
          <w:lang w:val="en-US" w:eastAsia="zh-CN"/>
          <w14:textFill>
            <w14:solidFill>
              <w14:schemeClr w14:val="tx1"/>
            </w14:solidFill>
          </w14:textFill>
        </w:rPr>
        <w:t>·</w:t>
      </w:r>
      <w:r>
        <w:rPr>
          <w:rFonts w:hint="eastAsia" w:hAnsi="宋体"/>
          <w:color w:val="000000" w:themeColor="text1"/>
          <w:kern w:val="0"/>
          <w:szCs w:val="21"/>
          <w:highlight w:val="none"/>
          <w:lang w:val="en-US" w:eastAsia="zh-CN"/>
          <w14:textFill>
            <w14:solidFill>
              <w14:schemeClr w14:val="tx1"/>
            </w14:solidFill>
          </w14:textFill>
        </w:rPr>
        <w:t>斯拉依丁、尤里武、张天锋、谢明岳</w:t>
      </w:r>
    </w:p>
    <w:p>
      <w:pPr>
        <w:keepNext w:val="0"/>
        <w:keepLines w:val="0"/>
        <w:pageBreakBefore w:val="0"/>
        <w:widowControl w:val="0"/>
        <w:shd w:val="clear"/>
        <w:kinsoku/>
        <w:wordWrap/>
        <w:overflowPunct/>
        <w:topLinePunct w:val="0"/>
        <w:autoSpaceDE/>
        <w:autoSpaceDN/>
        <w:bidi w:val="0"/>
        <w:adjustRightInd w:val="0"/>
        <w:snapToGrid w:val="0"/>
        <w:spacing w:line="360" w:lineRule="auto"/>
        <w:ind w:right="0" w:firstLine="420" w:firstLineChars="200"/>
        <w:textAlignment w:val="auto"/>
        <w:rPr>
          <w:rFonts w:hint="eastAsia" w:ascii="宋体" w:hAnsi="宋体" w:eastAsia="宋体" w:cs="宋体"/>
          <w:color w:val="auto"/>
          <w:szCs w:val="21"/>
          <w:highlight w:val="none"/>
        </w:rPr>
      </w:pPr>
      <w:r>
        <w:rPr>
          <w:rFonts w:hint="eastAsia" w:hAnsi="宋体"/>
          <w:color w:val="000000" w:themeColor="text1"/>
          <w:kern w:val="0"/>
          <w:szCs w:val="21"/>
          <w:highlight w:val="none"/>
          <w14:textFill>
            <w14:solidFill>
              <w14:schemeClr w14:val="tx1"/>
            </w14:solidFill>
          </w14:textFill>
        </w:rPr>
        <w:t>联系电话：</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0995-7683603</w:t>
      </w:r>
    </w:p>
    <w:p>
      <w:pPr>
        <w:keepNext w:val="0"/>
        <w:keepLines w:val="0"/>
        <w:pageBreakBefore w:val="0"/>
        <w:widowControl w:val="0"/>
        <w:shd w:val="clear"/>
        <w:kinsoku/>
        <w:wordWrap/>
        <w:overflowPunct/>
        <w:topLinePunct w:val="0"/>
        <w:autoSpaceDE/>
        <w:autoSpaceDN/>
        <w:bidi w:val="0"/>
        <w:spacing w:line="360" w:lineRule="auto"/>
        <w:ind w:right="0"/>
        <w:jc w:val="left"/>
        <w:textAlignment w:val="auto"/>
        <w:rPr>
          <w:rFonts w:ascii="宋体" w:hAnsi="宋体" w:eastAsia="宋体" w:cs="宋体"/>
          <w:color w:val="auto"/>
          <w:szCs w:val="21"/>
          <w:highlight w:val="none"/>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简体">
    <w:altName w:val="方正黑体_GBK"/>
    <w:panose1 w:val="03000509000000000000"/>
    <w:charset w:val="86"/>
    <w:family w:val="script"/>
    <w:pitch w:val="default"/>
    <w:sig w:usb0="00000000" w:usb1="00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0ZTQxMjA2YzEzODE5MDI3OWUxYWZhZTM1ZDdmMjkifQ=="/>
  </w:docVars>
  <w:rsids>
    <w:rsidRoot w:val="00BB29C1"/>
    <w:rsid w:val="00086274"/>
    <w:rsid w:val="000C0EE1"/>
    <w:rsid w:val="002F23B9"/>
    <w:rsid w:val="005134BB"/>
    <w:rsid w:val="009A29D5"/>
    <w:rsid w:val="00BB29C1"/>
    <w:rsid w:val="00BC2031"/>
    <w:rsid w:val="0105142C"/>
    <w:rsid w:val="0ED3506F"/>
    <w:rsid w:val="114B56F6"/>
    <w:rsid w:val="13815A7D"/>
    <w:rsid w:val="16B54FAF"/>
    <w:rsid w:val="16C167CC"/>
    <w:rsid w:val="1C6713C7"/>
    <w:rsid w:val="1F6B3695"/>
    <w:rsid w:val="20686E5B"/>
    <w:rsid w:val="233E0EAE"/>
    <w:rsid w:val="259D5500"/>
    <w:rsid w:val="27D3647F"/>
    <w:rsid w:val="28966CF9"/>
    <w:rsid w:val="28B85FC6"/>
    <w:rsid w:val="28C80903"/>
    <w:rsid w:val="2D964FA1"/>
    <w:rsid w:val="304E3968"/>
    <w:rsid w:val="32D92E45"/>
    <w:rsid w:val="34F04852"/>
    <w:rsid w:val="36A86057"/>
    <w:rsid w:val="3B506CC2"/>
    <w:rsid w:val="426B6199"/>
    <w:rsid w:val="42B133AA"/>
    <w:rsid w:val="440B45FC"/>
    <w:rsid w:val="47703E4B"/>
    <w:rsid w:val="47A20295"/>
    <w:rsid w:val="4AAB3AE1"/>
    <w:rsid w:val="4E3052D8"/>
    <w:rsid w:val="4E472162"/>
    <w:rsid w:val="613E3424"/>
    <w:rsid w:val="6503441E"/>
    <w:rsid w:val="659D4C10"/>
    <w:rsid w:val="6EBE554F"/>
    <w:rsid w:val="70921ECD"/>
    <w:rsid w:val="71794FD8"/>
    <w:rsid w:val="738E5547"/>
    <w:rsid w:val="749E3EE2"/>
    <w:rsid w:val="792F5562"/>
    <w:rsid w:val="7C6438DE"/>
    <w:rsid w:val="8CFB6689"/>
    <w:rsid w:val="FE26BECD"/>
    <w:rsid w:val="FE75C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eastAsia="宋体" w:cs="Times New Roman"/>
      <w:kern w:val="44"/>
      <w:sz w:val="48"/>
      <w:szCs w:val="48"/>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1">
    <w:name w:val="页眉 字符"/>
    <w:basedOn w:val="9"/>
    <w:link w:val="5"/>
    <w:qFormat/>
    <w:uiPriority w:val="0"/>
    <w:rPr>
      <w:rFonts w:asciiTheme="minorHAnsi" w:hAnsiTheme="minorHAnsi" w:eastAsiaTheme="minorEastAsia" w:cstheme="minorBidi"/>
      <w:kern w:val="2"/>
      <w:sz w:val="18"/>
      <w:szCs w:val="18"/>
    </w:rPr>
  </w:style>
  <w:style w:type="character" w:customStyle="1" w:styleId="12">
    <w:name w:val="页脚 字符"/>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1667</Words>
  <Characters>2406</Characters>
  <Lines>11</Lines>
  <Paragraphs>3</Paragraphs>
  <TotalTime>69</TotalTime>
  <ScaleCrop>false</ScaleCrop>
  <LinksUpToDate>false</LinksUpToDate>
  <CharactersWithSpaces>2541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lenovo</dc:creator>
  <cp:lastModifiedBy> </cp:lastModifiedBy>
  <cp:lastPrinted>2021-01-13T09:35:00Z</cp:lastPrinted>
  <dcterms:modified xsi:type="dcterms:W3CDTF">2025-12-24T10:36:57Z</dcterms:modified>
  <dc:title>产品质量监督抽查实施细则审批表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2E0016CA5004437E973F788908EBDF5E</vt:lpwstr>
  </property>
  <property fmtid="{D5CDD505-2E9C-101B-9397-08002B2CF9AE}" pid="4" name="KSOTemplateDocerSaveRecord">
    <vt:lpwstr>eyJoZGlkIjoiMGJmNWY2MTg2YmVhNTJmMjhiMWNlNTJlMmYwMzNjZDUiLCJ1c2VySWQiOiIyOTIwODMxMzEifQ==</vt:lpwstr>
  </property>
</Properties>
</file>