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bCs/>
          <w:sz w:val="28"/>
          <w:szCs w:val="28"/>
          <w:highlight w:val="none"/>
        </w:rPr>
      </w:pPr>
      <w:bookmarkStart w:id="6" w:name="_GoBack"/>
      <w:bookmarkEnd w:id="6"/>
      <w:r>
        <w:rPr>
          <w:rFonts w:hint="eastAsia" w:ascii="黑体" w:hAnsi="黑体" w:eastAsia="黑体" w:cs="黑体"/>
          <w:sz w:val="28"/>
          <w:szCs w:val="28"/>
          <w:highlight w:val="none"/>
        </w:rPr>
        <w:t>202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吐鲁番市聚乙烯吹塑农用地膜产品质量监督抽查实施细则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1 抽样方法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000000"/>
          <w:szCs w:val="21"/>
          <w:highlight w:val="none"/>
        </w:rPr>
      </w:pPr>
      <w:bookmarkStart w:id="0" w:name="_Hlk93006296"/>
      <w:r>
        <w:rPr>
          <w:rFonts w:hint="eastAsia" w:ascii="宋体" w:hAnsi="宋体" w:eastAsia="宋体" w:cs="宋体"/>
          <w:color w:val="000000"/>
          <w:szCs w:val="21"/>
          <w:highlight w:val="none"/>
        </w:rPr>
        <w:t>在生产企业或销售商的待销产品中随机抽取经确认表明合格的</w:t>
      </w:r>
      <w:bookmarkEnd w:id="0"/>
      <w:r>
        <w:rPr>
          <w:rFonts w:hint="eastAsia" w:ascii="宋体" w:hAnsi="宋体" w:eastAsia="宋体" w:cs="宋体"/>
          <w:szCs w:val="21"/>
          <w:highlight w:val="none"/>
        </w:rPr>
        <w:t>聚乙烯吹塑农用地面覆盖薄膜（以下简称薄膜）产品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抽取样品应为同一原料配方、同一型号规格、同一批次的产品。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优先抽取企业生产量大、具有代表性的型号规格的产品。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bCs/>
          <w:color w:val="333333"/>
          <w:szCs w:val="21"/>
          <w:highlight w:val="none"/>
          <w:shd w:val="clear" w:color="auto" w:fill="FFFFFF"/>
        </w:rPr>
      </w:pPr>
      <w:bookmarkStart w:id="1" w:name="_Hlk93006592"/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以随机抽样的方式在受检单位成品堆放区中抽取，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随机数使用随机数表法产生。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随机抽取有质量检验合格证明或者以其他形式表明合格的、自生产之日起一年内生产的产品。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Cs w:val="21"/>
          <w:highlight w:val="none"/>
          <w:shd w:val="clear" w:color="auto" w:fill="FFFFFF"/>
          <w:lang w:val="en-US" w:eastAsia="zh-CN"/>
        </w:rPr>
      </w:pPr>
      <w:bookmarkStart w:id="2" w:name="_Hlk93006403"/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随机抽取</w:t>
      </w:r>
      <w:bookmarkEnd w:id="2"/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卷薄膜，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将每卷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薄膜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外层除去10m后，每卷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薄膜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各抽取1块，1号、2号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薄膜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样品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取样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长度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各为10米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。其中1号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薄膜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样品签封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标明为“检验样品”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由抽检单位现场封存带走；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薄膜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样品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签封标明为“备用样品”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，现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</w:rPr>
        <w:t>场封存后由被抽检单位保管。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shd w:val="clear" w:color="auto" w:fill="FFFFFF"/>
          <w:lang w:val="en-US" w:eastAsia="zh-CN"/>
        </w:rPr>
        <w:t>签封的样品折叠后面积应不小于A4纸大小且表面平整无折痕，在取样过程、运输、存储样品过程中应平整堆放，防止挤压、撞击、拉扯和污损，必须保证样品完好。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  <w:bookmarkStart w:id="3" w:name="_Hlk93006699"/>
      <w:r>
        <w:rPr>
          <w:rFonts w:hint="eastAsia" w:ascii="黑体" w:hAnsi="黑体" w:eastAsia="黑体" w:cs="黑体"/>
          <w:szCs w:val="21"/>
          <w:highlight w:val="none"/>
        </w:rPr>
        <w:t>2 检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验</w:t>
      </w:r>
      <w:r>
        <w:rPr>
          <w:rFonts w:hint="eastAsia" w:ascii="黑体" w:hAnsi="黑体" w:eastAsia="黑体" w:cs="黑体"/>
          <w:szCs w:val="21"/>
          <w:highlight w:val="none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检测项目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检验方法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见表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黑体" w:hAnsi="黑体" w:eastAsia="黑体" w:cs="黑体"/>
          <w:szCs w:val="21"/>
          <w:highlight w:val="none"/>
        </w:rPr>
      </w:pPr>
      <w:bookmarkStart w:id="4" w:name="_Hlk93006774"/>
      <w:r>
        <w:rPr>
          <w:rFonts w:hint="eastAsia" w:ascii="黑体" w:hAnsi="黑体" w:eastAsia="黑体" w:cs="黑体"/>
          <w:szCs w:val="21"/>
          <w:highlight w:val="none"/>
        </w:rPr>
        <w:t>表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1</w:t>
      </w:r>
      <w:r>
        <w:rPr>
          <w:rFonts w:ascii="黑体" w:hAnsi="黑体" w:eastAsia="黑体" w:cs="黑体"/>
          <w:szCs w:val="21"/>
          <w:highlight w:val="none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szCs w:val="21"/>
          <w:highlight w:val="none"/>
          <w:shd w:val="clear" w:color="auto" w:fill="FFFFFF"/>
        </w:rPr>
        <w:t xml:space="preserve"> 薄膜检测项目及检测方法依据</w:t>
      </w:r>
      <w:bookmarkEnd w:id="4"/>
    </w:p>
    <w:bookmarkEnd w:id="3"/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79"/>
        <w:gridCol w:w="346"/>
        <w:gridCol w:w="2009"/>
        <w:gridCol w:w="182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</w:p>
        </w:tc>
        <w:tc>
          <w:tcPr>
            <w:tcW w:w="38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检测项目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21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厚度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和厚度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偏差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厚度极限偏差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GB/T 13735-2017</w:t>
            </w:r>
          </w:p>
        </w:tc>
        <w:tc>
          <w:tcPr>
            <w:tcW w:w="2168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GB/T 6672-2001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GB/T 13735-2017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平均厚度偏差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38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拉伸负荷（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纵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GB/T 1040.3－2006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GB/T 13735-2017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38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断裂标称应变（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纵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</w:p>
        </w:tc>
        <w:tc>
          <w:tcPr>
            <w:tcW w:w="38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直角撕裂负荷</w:t>
            </w:r>
            <w:r>
              <w:rPr>
                <w:rFonts w:hint="eastAsia" w:ascii="宋体" w:hAnsi="宋体"/>
                <w:szCs w:val="21"/>
                <w:highlight w:val="none"/>
                <w:vertAlign w:val="superscript"/>
              </w:rPr>
              <w:t>a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（纵/横）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QB/T 1130-1991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GB/T 13735-2017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耐候性能（断裂标称应变保留率）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拉伸负荷（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纵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GB/T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16422.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-2014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GB/T 13735-2017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断裂标称应变（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纵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highlight w:val="none"/>
                <w:vertAlign w:val="superscript"/>
              </w:rPr>
            </w:pPr>
          </w:p>
        </w:tc>
        <w:tc>
          <w:tcPr>
            <w:tcW w:w="6352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/>
                <w:szCs w:val="21"/>
                <w:highlight w:val="none"/>
              </w:rPr>
              <w:t>注：</w:t>
            </w:r>
            <w:r>
              <w:rPr>
                <w:rFonts w:hint="eastAsia" w:ascii="宋体" w:hAnsi="宋体"/>
                <w:szCs w:val="21"/>
                <w:highlight w:val="none"/>
                <w:vertAlign w:val="superscript"/>
              </w:rPr>
              <w:t>a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采用单片试样；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 w:cs="黑体"/>
          <w:szCs w:val="21"/>
          <w:highlight w:val="none"/>
        </w:rPr>
      </w:pPr>
    </w:p>
    <w:p>
      <w:pPr>
        <w:spacing w:line="360" w:lineRule="auto"/>
        <w:jc w:val="left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3 判定规则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3.1 依据标准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  <w:lang w:val="en-US" w:eastAsia="zh-CN"/>
        </w:rPr>
        <w:t>GB/T 13735-2017</w:t>
      </w:r>
      <w:r>
        <w:rPr>
          <w:rFonts w:hint="eastAsia" w:ascii="宋体" w:hAnsi="宋体"/>
          <w:bCs/>
          <w:szCs w:val="21"/>
          <w:highlight w:val="none"/>
        </w:rPr>
        <w:t xml:space="preserve">  聚乙烯吹塑农用地面覆盖薄膜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3.2 判定原则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经检验，检验项目全部合格，判定为被抽查产品合格；检验项目中任一项或一项以上不合格，判定为被抽查产品不合格。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所检项目检验结果不合格，除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耐候性能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项目不合格，在检验样品中进行单倍试样复验，其余项目应在检验样品中取双倍试样对不合格项目进行复验，复验结果仍不合格则判定为不合格。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3.3 结论用语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3.3.1 所检项目全部合格时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经抽样检验，所检项目符合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GB/T 13735-2017</w:t>
      </w:r>
      <w:r>
        <w:rPr>
          <w:rFonts w:hint="eastAsia" w:ascii="宋体" w:hAnsi="宋体" w:eastAsia="宋体" w:cs="宋体"/>
          <w:szCs w:val="21"/>
          <w:highlight w:val="none"/>
        </w:rPr>
        <w:t>标准，依据《</w:t>
      </w:r>
      <w:bookmarkStart w:id="5" w:name="_Hlk93006991"/>
      <w:r>
        <w:rPr>
          <w:rFonts w:hint="eastAsia" w:ascii="宋体" w:hAnsi="宋体" w:eastAsia="宋体" w:cs="宋体"/>
          <w:szCs w:val="21"/>
          <w:highlight w:val="none"/>
        </w:rPr>
        <w:t>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bookmarkEnd w:id="5"/>
      <w:r>
        <w:rPr>
          <w:rFonts w:hint="eastAsia" w:ascii="宋体" w:hAnsi="宋体" w:eastAsia="宋体" w:cs="宋体"/>
          <w:szCs w:val="21"/>
          <w:highlight w:val="none"/>
        </w:rPr>
        <w:t>吐鲁番市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农用地膜</w:t>
      </w:r>
      <w:r>
        <w:rPr>
          <w:rFonts w:hint="eastAsia" w:ascii="宋体" w:hAnsi="宋体" w:eastAsia="宋体" w:cs="宋体"/>
          <w:szCs w:val="21"/>
          <w:highlight w:val="none"/>
        </w:rPr>
        <w:t>产品质量监督抽查实施细则》，判定为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未发现不</w:t>
      </w:r>
      <w:r>
        <w:rPr>
          <w:rFonts w:hint="eastAsia" w:ascii="宋体" w:hAnsi="宋体" w:eastAsia="宋体" w:cs="宋体"/>
          <w:szCs w:val="21"/>
          <w:highlight w:val="none"/>
        </w:rPr>
        <w:t>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3.3.2 所检项目至少1项不合格时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经抽样检验，××项目不符合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GB/T 13735-2017</w:t>
      </w:r>
      <w:r>
        <w:rPr>
          <w:rFonts w:hint="eastAsia" w:ascii="宋体" w:hAnsi="宋体" w:eastAsia="宋体" w:cs="宋体"/>
          <w:szCs w:val="21"/>
          <w:highlight w:val="none"/>
        </w:rPr>
        <w:t>标准，依据《202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  <w:highlight w:val="none"/>
        </w:rPr>
        <w:t>年吐鲁番市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农用地膜</w:t>
      </w:r>
      <w:r>
        <w:rPr>
          <w:rFonts w:hint="eastAsia" w:ascii="宋体" w:hAnsi="宋体" w:eastAsia="宋体" w:cs="宋体"/>
          <w:szCs w:val="21"/>
          <w:highlight w:val="none"/>
        </w:rPr>
        <w:t>产品质量监督抽查实施细则》，判定为不合格。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42"/>
        <w:textAlignment w:val="auto"/>
        <w:rPr>
          <w:rFonts w:ascii="黑体" w:hAnsi="宋体" w:eastAsia="黑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宋体" w:eastAsia="黑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异议处理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检验机构在出具不合格产品检验报告3个工作日内，将不合格产品检验报告寄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送组织监督抽查单位。对判定不合格产品提出异议时，按以下方式进行：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4.1</w:t>
      </w:r>
      <w:r>
        <w:rPr>
          <w:rFonts w:hint="eastAsia" w:ascii="宋体" w:hAnsi="宋体" w:eastAsia="宋体" w:cs="宋体"/>
          <w:szCs w:val="21"/>
          <w:highlight w:val="none"/>
        </w:rPr>
        <w:t>核查不合格项目相关证据，能够以记录（纸质记录或电子记录或影像记录）或与不合格项目相关联的其它信息证据证明，做出维持原检验结论的结论。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  <w:highlight w:val="none"/>
        </w:rPr>
        <w:t>.2需要复检并具备检验条件的，处理企业异议的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吐鲁番市市场监督管理局</w:t>
      </w:r>
      <w:r>
        <w:rPr>
          <w:rFonts w:hint="eastAsia" w:ascii="宋体" w:hAnsi="宋体" w:eastAsia="宋体" w:cs="宋体"/>
          <w:szCs w:val="21"/>
          <w:highlight w:val="none"/>
        </w:rPr>
        <w:t>指定检验机构按原监督抽查实施细则对抽取的备用样品组织复检。复检结论为最终结论。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42"/>
        <w:textAlignment w:val="auto"/>
        <w:rPr>
          <w:rFonts w:hint="eastAsia" w:ascii="黑体" w:hAnsi="宋体" w:eastAsia="黑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本实施细则由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新疆吐鲁番自然环境试验研究中心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编制，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吐鲁番市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市场监督管理局批准发布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实施细则涉及的技术问题由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新疆吐鲁番自然环境试验研究中心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hAnsi="宋体" w:eastAsiaTheme="minorEastAsi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细则起草人：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王力、张天锋、吐尔逊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斯拉依丁、尤里武、辛孟蓓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0995-7683603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——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ZTQxMjA2YzEzODE5MDI3OWUxYWZhZTM1ZDdmMjkifQ=="/>
  </w:docVars>
  <w:rsids>
    <w:rsidRoot w:val="00723584"/>
    <w:rsid w:val="00723584"/>
    <w:rsid w:val="00B02D66"/>
    <w:rsid w:val="00BD5F3C"/>
    <w:rsid w:val="00D570CE"/>
    <w:rsid w:val="00DB6770"/>
    <w:rsid w:val="052F47D5"/>
    <w:rsid w:val="06226663"/>
    <w:rsid w:val="08CB28D9"/>
    <w:rsid w:val="114B56F6"/>
    <w:rsid w:val="13815A7D"/>
    <w:rsid w:val="13A85E50"/>
    <w:rsid w:val="17DEAF4F"/>
    <w:rsid w:val="20061701"/>
    <w:rsid w:val="233E0EAE"/>
    <w:rsid w:val="28330CEB"/>
    <w:rsid w:val="28B85FC6"/>
    <w:rsid w:val="2D1D70DD"/>
    <w:rsid w:val="2D567F64"/>
    <w:rsid w:val="2F144969"/>
    <w:rsid w:val="303F36C3"/>
    <w:rsid w:val="32D92E45"/>
    <w:rsid w:val="36B11FCE"/>
    <w:rsid w:val="396B3903"/>
    <w:rsid w:val="3BA03199"/>
    <w:rsid w:val="3CD56241"/>
    <w:rsid w:val="3D121031"/>
    <w:rsid w:val="3EEC14B0"/>
    <w:rsid w:val="422874C8"/>
    <w:rsid w:val="42D037C3"/>
    <w:rsid w:val="4AAB3AE1"/>
    <w:rsid w:val="4E472162"/>
    <w:rsid w:val="520F4C2C"/>
    <w:rsid w:val="55AB5BA4"/>
    <w:rsid w:val="5C8124FD"/>
    <w:rsid w:val="5E3C2AE9"/>
    <w:rsid w:val="60A440A1"/>
    <w:rsid w:val="613E3424"/>
    <w:rsid w:val="64C0704C"/>
    <w:rsid w:val="6503441E"/>
    <w:rsid w:val="683C3591"/>
    <w:rsid w:val="69E0378C"/>
    <w:rsid w:val="6ADB2195"/>
    <w:rsid w:val="6ED91799"/>
    <w:rsid w:val="738E5547"/>
    <w:rsid w:val="7F4B173C"/>
    <w:rsid w:val="F2B869F4"/>
    <w:rsid w:val="F6D2F662"/>
    <w:rsid w:val="FBFE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1517</Words>
  <Characters>1754</Characters>
  <Lines>11</Lines>
  <Paragraphs>3</Paragraphs>
  <TotalTime>47</TotalTime>
  <ScaleCrop>false</ScaleCrop>
  <LinksUpToDate>false</LinksUpToDate>
  <CharactersWithSpaces>1854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 </cp:lastModifiedBy>
  <cp:lastPrinted>2022-12-23T16:45:00Z</cp:lastPrinted>
  <dcterms:modified xsi:type="dcterms:W3CDTF">2025-12-24T10:37:54Z</dcterms:modified>
  <dc:title>产品质量监督抽查实施细则审批表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67587774AD5F44F186EBDCDF5CD9E265_13</vt:lpwstr>
  </property>
  <property fmtid="{D5CDD505-2E9C-101B-9397-08002B2CF9AE}" pid="4" name="KSOTemplateDocerSaveRecord">
    <vt:lpwstr>eyJoZGlkIjoiMGJmNWY2MTg2YmVhNTJmMjhiMWNlNTJlMmYwMzNjZDUiLCJ1c2VySWQiOiIyOTIwODMxMzEifQ==</vt:lpwstr>
  </property>
</Properties>
</file>