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ascii="方正小标宋简体" w:hAnsi="方正小标宋简体" w:eastAsia="方正小标宋简体" w:cs="方正小标宋简体"/>
          <w:i w:val="0"/>
          <w:iCs w:val="0"/>
          <w:caps w:val="0"/>
          <w:color w:val="000000"/>
          <w:spacing w:val="0"/>
          <w:sz w:val="44"/>
          <w:szCs w:val="44"/>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ascii="方正小标宋简体" w:hAnsi="方正小标宋简体" w:eastAsia="方正小标宋简体" w:cs="方正小标宋简体"/>
          <w:i w:val="0"/>
          <w:iCs w:val="0"/>
          <w:caps w:val="0"/>
          <w:color w:val="000000"/>
          <w:spacing w:val="0"/>
          <w:sz w:val="44"/>
          <w:szCs w:val="44"/>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ascii="方正小标宋简体" w:hAnsi="方正小标宋简体" w:eastAsia="方正小标宋简体" w:cs="方正小标宋简体"/>
          <w:i w:val="0"/>
          <w:iCs w:val="0"/>
          <w:caps w:val="0"/>
          <w:color w:val="000000"/>
          <w:spacing w:val="0"/>
          <w:sz w:val="44"/>
          <w:szCs w:val="44"/>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ascii="方正小标宋简体" w:hAnsi="方正小标宋简体" w:eastAsia="方正小标宋简体" w:cs="方正小标宋简体"/>
          <w:i w:val="0"/>
          <w:iCs w:val="0"/>
          <w:caps w:val="0"/>
          <w:color w:val="000000"/>
          <w:spacing w:val="0"/>
          <w:sz w:val="44"/>
          <w:szCs w:val="44"/>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ascii="Calibri" w:hAnsi="Calibri" w:cs="Calibri"/>
          <w:i w:val="0"/>
          <w:iCs w:val="0"/>
          <w:caps w:val="0"/>
          <w:color w:val="000000"/>
          <w:spacing w:val="0"/>
          <w:sz w:val="21"/>
          <w:szCs w:val="21"/>
        </w:rPr>
      </w:pPr>
      <w:r>
        <w:rPr>
          <w:rFonts w:ascii="方正小标宋简体" w:hAnsi="方正小标宋简体" w:eastAsia="方正小标宋简体" w:cs="方正小标宋简体"/>
          <w:i w:val="0"/>
          <w:iCs w:val="0"/>
          <w:caps w:val="0"/>
          <w:color w:val="000000"/>
          <w:spacing w:val="0"/>
          <w:sz w:val="44"/>
          <w:szCs w:val="44"/>
          <w:shd w:val="clear" w:fill="FFFFFF"/>
        </w:rPr>
        <w:t>新疆维吾尔自治区人民政府关于印发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default" w:ascii="Calibri" w:hAnsi="Calibri" w:cs="Calibri"/>
          <w:i w:val="0"/>
          <w:iCs w:val="0"/>
          <w:caps w:val="0"/>
          <w:color w:val="000000"/>
          <w:spacing w:val="0"/>
          <w:sz w:val="21"/>
          <w:szCs w:val="21"/>
        </w:rPr>
      </w:pPr>
      <w:r>
        <w:rPr>
          <w:rFonts w:hint="eastAsia" w:ascii="方正小标宋简体" w:hAnsi="方正小标宋简体" w:eastAsia="方正小标宋简体" w:cs="方正小标宋简体"/>
          <w:i w:val="0"/>
          <w:iCs w:val="0"/>
          <w:caps w:val="0"/>
          <w:color w:val="000000"/>
          <w:spacing w:val="0"/>
          <w:sz w:val="44"/>
          <w:szCs w:val="44"/>
          <w:shd w:val="clear" w:fill="FFFFFF"/>
        </w:rPr>
        <w:t>《自治区进一步优化政务服务提升行政效能</w:t>
      </w:r>
      <w:bookmarkStart w:id="0" w:name="_GoBack"/>
      <w:r>
        <w:rPr>
          <w:rFonts w:hint="eastAsia" w:ascii="方正小标宋简体" w:hAnsi="方正小标宋简体" w:eastAsia="方正小标宋简体" w:cs="方正小标宋简体"/>
          <w:i w:val="0"/>
          <w:iCs w:val="0"/>
          <w:caps w:val="0"/>
          <w:color w:val="000000"/>
          <w:spacing w:val="0"/>
          <w:sz w:val="44"/>
          <w:szCs w:val="44"/>
          <w:shd w:val="clear" w:fill="FFFFFF"/>
        </w:rPr>
        <w:t>推动“高效办成一件事”实施方案》的通知</w:t>
      </w:r>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default" w:ascii="Calibri" w:hAnsi="Calibri" w:cs="Calibri"/>
          <w:i w:val="0"/>
          <w:iCs w:val="0"/>
          <w:caps w:val="0"/>
          <w:color w:val="000000"/>
          <w:spacing w:val="0"/>
          <w:sz w:val="21"/>
          <w:szCs w:val="21"/>
        </w:rPr>
      </w:pPr>
      <w:r>
        <w:rPr>
          <w:rFonts w:hint="default" w:ascii="Calibri" w:hAnsi="Calibri" w:cs="Calibri"/>
          <w:i w:val="0"/>
          <w:iCs w:val="0"/>
          <w:caps w:val="0"/>
          <w:color w:val="000000"/>
          <w:spacing w:val="0"/>
          <w:sz w:val="21"/>
          <w:szCs w:val="21"/>
          <w:shd w:val="clear" w:fill="FFFFFF"/>
        </w:rPr>
        <w:t> </w:t>
      </w:r>
      <w:r>
        <w:rPr>
          <w:rFonts w:ascii="仿宋_GB2312" w:hAnsi="Calibri" w:eastAsia="仿宋_GB2312" w:cs="仿宋_GB2312"/>
          <w:i w:val="0"/>
          <w:iCs w:val="0"/>
          <w:caps w:val="0"/>
          <w:color w:val="505050"/>
          <w:spacing w:val="0"/>
          <w:sz w:val="32"/>
          <w:szCs w:val="32"/>
          <w:shd w:val="clear" w:fill="FFFFFF"/>
          <w:vertAlign w:val="baseline"/>
        </w:rPr>
        <w:t>新政发</w:t>
      </w:r>
      <w:r>
        <w:rPr>
          <w:rFonts w:hint="default" w:ascii="仿宋_GB2312" w:hAnsi="Calibri" w:eastAsia="仿宋_GB2312" w:cs="仿宋_GB2312"/>
          <w:i w:val="0"/>
          <w:iCs w:val="0"/>
          <w:caps w:val="0"/>
          <w:color w:val="505050"/>
          <w:spacing w:val="0"/>
          <w:sz w:val="32"/>
          <w:szCs w:val="32"/>
          <w:shd w:val="clear" w:fill="FFFFFF"/>
          <w:vertAlign w:val="baseline"/>
        </w:rPr>
        <w:t>〔</w:t>
      </w:r>
      <w:r>
        <w:rPr>
          <w:rFonts w:hint="default" w:ascii="Times New Roman" w:hAnsi="Times New Roman" w:cs="Times New Roman"/>
          <w:i w:val="0"/>
          <w:iCs w:val="0"/>
          <w:caps w:val="0"/>
          <w:color w:val="505050"/>
          <w:spacing w:val="0"/>
          <w:sz w:val="32"/>
          <w:szCs w:val="32"/>
          <w:shd w:val="clear" w:fill="FFFFFF"/>
          <w:vertAlign w:val="baseline"/>
        </w:rPr>
        <w:t>2024</w:t>
      </w:r>
      <w:r>
        <w:rPr>
          <w:rFonts w:hint="default" w:ascii="仿宋_GB2312" w:hAnsi="Calibri" w:eastAsia="仿宋_GB2312" w:cs="仿宋_GB2312"/>
          <w:i w:val="0"/>
          <w:iCs w:val="0"/>
          <w:caps w:val="0"/>
          <w:color w:val="505050"/>
          <w:spacing w:val="0"/>
          <w:sz w:val="32"/>
          <w:szCs w:val="32"/>
          <w:shd w:val="clear" w:fill="FFFFFF"/>
          <w:vertAlign w:val="baseline"/>
        </w:rPr>
        <w:t>〕</w:t>
      </w:r>
      <w:r>
        <w:rPr>
          <w:rFonts w:hint="default" w:ascii="Times New Roman" w:hAnsi="Times New Roman" w:cs="Times New Roman"/>
          <w:i w:val="0"/>
          <w:iCs w:val="0"/>
          <w:caps w:val="0"/>
          <w:color w:val="505050"/>
          <w:spacing w:val="0"/>
          <w:sz w:val="32"/>
          <w:szCs w:val="32"/>
          <w:shd w:val="clear" w:fill="FFFFFF"/>
          <w:vertAlign w:val="baseline"/>
        </w:rPr>
        <w:t>35</w:t>
      </w:r>
      <w:r>
        <w:rPr>
          <w:rFonts w:hint="default" w:ascii="仿宋_GB2312" w:hAnsi="Calibri" w:eastAsia="仿宋_GB2312" w:cs="仿宋_GB2312"/>
          <w:i w:val="0"/>
          <w:iCs w:val="0"/>
          <w:caps w:val="0"/>
          <w:color w:val="000000"/>
          <w:spacing w:val="0"/>
          <w:sz w:val="32"/>
          <w:szCs w:val="32"/>
          <w:shd w:val="clear" w:fill="FFFFFF"/>
        </w:rPr>
        <w:t>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default" w:ascii="Calibri" w:hAnsi="Calibri" w:cs="Calibri"/>
          <w:i w:val="0"/>
          <w:iCs w:val="0"/>
          <w:caps w:val="0"/>
          <w:color w:val="000000"/>
          <w:spacing w:val="0"/>
          <w:sz w:val="21"/>
          <w:szCs w:val="2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default" w:ascii="Calibri" w:hAnsi="Calibri" w:cs="Calibri"/>
          <w:i w:val="0"/>
          <w:iCs w:val="0"/>
          <w:caps w:val="0"/>
          <w:color w:val="000000"/>
          <w:spacing w:val="0"/>
          <w:sz w:val="21"/>
          <w:szCs w:val="21"/>
        </w:rPr>
      </w:pPr>
      <w:r>
        <w:rPr>
          <w:rFonts w:hint="default" w:ascii="仿宋_GB2312" w:hAnsi="仿宋" w:eastAsia="仿宋_GB2312" w:cs="仿宋_GB2312"/>
          <w:i w:val="0"/>
          <w:iCs w:val="0"/>
          <w:caps w:val="0"/>
          <w:color w:val="000000"/>
          <w:spacing w:val="0"/>
          <w:sz w:val="32"/>
          <w:szCs w:val="32"/>
          <w:shd w:val="clear" w:fill="FFFFFF"/>
        </w:rPr>
        <w:t>各州、市人民政府,各行政公署,自治区人民政府各部门、各直属机构: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default" w:ascii="仿宋_GB2312" w:hAnsi="仿宋" w:eastAsia="仿宋_GB2312" w:cs="仿宋_GB2312"/>
          <w:i w:val="0"/>
          <w:iCs w:val="0"/>
          <w:caps w:val="0"/>
          <w:color w:val="000000"/>
          <w:spacing w:val="0"/>
          <w:sz w:val="32"/>
          <w:szCs w:val="32"/>
          <w:shd w:val="clear" w:fill="FFFFFF"/>
        </w:rPr>
        <w:t>现将《自治区进一步优化政务服务提升行政效能推动“高效办成一件事”实施方案》印发你们,请结合实际认真组织实施。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right"/>
        <w:rPr>
          <w:rFonts w:hint="default" w:ascii="Calibri" w:hAnsi="Calibri" w:cs="Calibri"/>
          <w:i w:val="0"/>
          <w:iCs w:val="0"/>
          <w:caps w:val="0"/>
          <w:color w:val="000000"/>
          <w:spacing w:val="0"/>
          <w:sz w:val="21"/>
          <w:szCs w:val="21"/>
        </w:rPr>
      </w:pPr>
      <w:r>
        <w:rPr>
          <w:rFonts w:hint="eastAsia" w:ascii="仿宋" w:hAnsi="仿宋" w:eastAsia="仿宋" w:cs="仿宋"/>
          <w:i w:val="0"/>
          <w:iCs w:val="0"/>
          <w:caps w:val="0"/>
          <w:color w:val="000000"/>
          <w:spacing w:val="0"/>
          <w:sz w:val="32"/>
          <w:szCs w:val="32"/>
          <w:shd w:val="clear" w:fill="FFFFFF"/>
        </w:rPr>
        <w:t>                   </w:t>
      </w:r>
      <w:r>
        <w:rPr>
          <w:rFonts w:hint="default" w:ascii="仿宋_GB2312" w:hAnsi="仿宋" w:eastAsia="仿宋_GB2312" w:cs="仿宋_GB2312"/>
          <w:i w:val="0"/>
          <w:iCs w:val="0"/>
          <w:caps w:val="0"/>
          <w:color w:val="000000"/>
          <w:spacing w:val="0"/>
          <w:sz w:val="32"/>
          <w:szCs w:val="32"/>
          <w:shd w:val="clear" w:fill="FFFFFF"/>
        </w:rPr>
        <w:t>新疆维吾尔自治区人民政府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right"/>
        <w:rPr>
          <w:rFonts w:hint="eastAsia" w:ascii="宋体" w:hAnsi="宋体" w:eastAsia="宋体" w:cs="宋体"/>
          <w:i w:val="0"/>
          <w:iCs w:val="0"/>
          <w:caps w:val="0"/>
          <w:color w:val="000000"/>
          <w:spacing w:val="0"/>
        </w:rPr>
      </w:pPr>
      <w:r>
        <w:rPr>
          <w:rFonts w:hint="eastAsia" w:ascii="仿宋" w:hAnsi="仿宋" w:eastAsia="仿宋" w:cs="仿宋"/>
          <w:i w:val="0"/>
          <w:iCs w:val="0"/>
          <w:caps w:val="0"/>
          <w:color w:val="000000"/>
          <w:spacing w:val="0"/>
          <w:sz w:val="32"/>
          <w:szCs w:val="32"/>
          <w:shd w:val="clear" w:fill="FFFFFF"/>
        </w:rPr>
        <w:t>                          </w:t>
      </w:r>
      <w:r>
        <w:rPr>
          <w:rFonts w:hint="default" w:ascii="Times New Roman" w:hAnsi="Times New Roman" w:eastAsia="宋体" w:cs="Times New Roman"/>
          <w:i w:val="0"/>
          <w:iCs w:val="0"/>
          <w:caps w:val="0"/>
          <w:color w:val="000000"/>
          <w:spacing w:val="0"/>
          <w:sz w:val="32"/>
          <w:szCs w:val="32"/>
          <w:shd w:val="clear" w:fill="FFFFFF"/>
        </w:rPr>
        <w:t>   </w:t>
      </w:r>
      <w:r>
        <w:rPr>
          <w:rFonts w:hint="default" w:ascii="Times New Roman" w:hAnsi="Times New Roman" w:eastAsia="宋体" w:cs="Times New Roman"/>
          <w:b w:val="0"/>
          <w:bCs w:val="0"/>
          <w:i w:val="0"/>
          <w:iCs w:val="0"/>
          <w:caps w:val="0"/>
          <w:color w:val="000000"/>
          <w:spacing w:val="0"/>
          <w:sz w:val="32"/>
          <w:szCs w:val="32"/>
          <w:shd w:val="clear" w:fill="FFFFFF"/>
        </w:rPr>
        <w:t> 2024</w:t>
      </w:r>
      <w:r>
        <w:rPr>
          <w:rFonts w:hint="default" w:ascii="仿宋_GB2312" w:hAnsi="仿宋" w:eastAsia="仿宋_GB2312" w:cs="仿宋_GB2312"/>
          <w:b w:val="0"/>
          <w:bCs w:val="0"/>
          <w:i w:val="0"/>
          <w:iCs w:val="0"/>
          <w:caps w:val="0"/>
          <w:color w:val="000000"/>
          <w:spacing w:val="0"/>
          <w:sz w:val="32"/>
          <w:szCs w:val="32"/>
          <w:shd w:val="clear" w:fill="FFFFFF"/>
        </w:rPr>
        <w:t>年</w:t>
      </w:r>
      <w:r>
        <w:rPr>
          <w:rFonts w:hint="default" w:ascii="Times New Roman" w:hAnsi="Times New Roman" w:eastAsia="宋体" w:cs="Times New Roman"/>
          <w:b w:val="0"/>
          <w:bCs w:val="0"/>
          <w:i w:val="0"/>
          <w:iCs w:val="0"/>
          <w:caps w:val="0"/>
          <w:color w:val="000000"/>
          <w:spacing w:val="0"/>
          <w:sz w:val="32"/>
          <w:szCs w:val="32"/>
          <w:shd w:val="clear" w:fill="FFFFFF"/>
        </w:rPr>
        <w:t>6</w:t>
      </w:r>
      <w:r>
        <w:rPr>
          <w:rFonts w:hint="default" w:ascii="仿宋_GB2312" w:hAnsi="仿宋" w:eastAsia="仿宋_GB2312" w:cs="仿宋_GB2312"/>
          <w:b w:val="0"/>
          <w:bCs w:val="0"/>
          <w:i w:val="0"/>
          <w:iCs w:val="0"/>
          <w:caps w:val="0"/>
          <w:color w:val="000000"/>
          <w:spacing w:val="0"/>
          <w:sz w:val="32"/>
          <w:szCs w:val="32"/>
          <w:shd w:val="clear" w:fill="FFFFFF"/>
        </w:rPr>
        <w:t>月</w:t>
      </w:r>
      <w:r>
        <w:rPr>
          <w:rFonts w:hint="default" w:ascii="Times New Roman" w:hAnsi="Times New Roman" w:eastAsia="仿宋" w:cs="Times New Roman"/>
          <w:b w:val="0"/>
          <w:bCs w:val="0"/>
          <w:i w:val="0"/>
          <w:iCs w:val="0"/>
          <w:caps w:val="0"/>
          <w:color w:val="000000"/>
          <w:spacing w:val="0"/>
          <w:sz w:val="32"/>
          <w:szCs w:val="32"/>
          <w:shd w:val="clear" w:fill="FFFFFF"/>
        </w:rPr>
        <w:t>24</w:t>
      </w:r>
      <w:r>
        <w:rPr>
          <w:rFonts w:hint="default" w:ascii="仿宋_GB2312" w:hAnsi="仿宋" w:eastAsia="仿宋_GB2312" w:cs="仿宋_GB2312"/>
          <w:b w:val="0"/>
          <w:bCs w:val="0"/>
          <w:i w:val="0"/>
          <w:iCs w:val="0"/>
          <w:caps w:val="0"/>
          <w:color w:val="000000"/>
          <w:spacing w:val="0"/>
          <w:sz w:val="32"/>
          <w:szCs w:val="32"/>
          <w:shd w:val="clear" w:fill="FFFFFF"/>
        </w:rPr>
        <w:t>日   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right"/>
        <w:rPr>
          <w:rFonts w:hint="eastAsia" w:ascii="宋体" w:hAnsi="宋体" w:eastAsia="宋体" w:cs="宋体"/>
          <w:i w:val="0"/>
          <w:iCs w:val="0"/>
          <w:caps w:val="0"/>
          <w:color w:val="000000"/>
          <w:spacing w:val="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宋体" w:hAnsi="宋体" w:eastAsia="宋体" w:cs="宋体"/>
          <w:i w:val="0"/>
          <w:iCs w:val="0"/>
          <w:caps w:val="0"/>
          <w:color w:val="000000"/>
          <w:spacing w:val="0"/>
        </w:rPr>
      </w:pPr>
      <w:r>
        <w:rPr>
          <w:rFonts w:ascii="方正仿宋_GBK" w:hAnsi="方正仿宋_GBK" w:eastAsia="方正仿宋_GBK" w:cs="方正仿宋_GBK"/>
          <w:i w:val="0"/>
          <w:iCs w:val="0"/>
          <w:caps w:val="0"/>
          <w:color w:val="000000"/>
          <w:spacing w:val="0"/>
          <w:sz w:val="32"/>
          <w:szCs w:val="32"/>
          <w:shd w:val="clear" w:fill="FFFFFF"/>
        </w:rPr>
        <w:t>    （此件公开发布）</w:t>
      </w:r>
      <w:r>
        <w:rPr>
          <w:rFonts w:hint="default" w:ascii="仿宋_GB2312" w:hAnsi="仿宋" w:eastAsia="仿宋_GB2312" w:cs="仿宋_GB2312"/>
          <w:b w:val="0"/>
          <w:bCs w:val="0"/>
          <w:i w:val="0"/>
          <w:iCs w:val="0"/>
          <w:caps w:val="0"/>
          <w:color w:val="000000"/>
          <w:spacing w:val="0"/>
          <w:sz w:val="32"/>
          <w:szCs w:val="32"/>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default" w:ascii="Calibri" w:hAnsi="Calibri" w:cs="Calibri"/>
          <w:i w:val="0"/>
          <w:iCs w:val="0"/>
          <w:caps w:val="0"/>
          <w:color w:val="000000"/>
          <w:spacing w:val="0"/>
          <w:sz w:val="21"/>
          <w:szCs w:val="21"/>
        </w:rPr>
      </w:pPr>
      <w:r>
        <w:rPr>
          <w:rFonts w:hint="default" w:ascii="Calibri" w:hAnsi="Calibri" w:cs="Calibri"/>
          <w:i w:val="0"/>
          <w:iCs w:val="0"/>
          <w:caps w:val="0"/>
          <w:color w:val="000000"/>
          <w:spacing w:val="0"/>
          <w:sz w:val="21"/>
          <w:szCs w:val="21"/>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default" w:ascii="Calibri" w:hAnsi="Calibri" w:cs="Calibri"/>
          <w:i w:val="0"/>
          <w:iCs w:val="0"/>
          <w:caps w:val="0"/>
          <w:color w:val="000000"/>
          <w:spacing w:val="0"/>
          <w:sz w:val="21"/>
          <w:szCs w:val="21"/>
        </w:rPr>
      </w:pPr>
      <w:r>
        <w:rPr>
          <w:rFonts w:hint="default" w:ascii="Calibri" w:hAnsi="Calibri" w:cs="Calibri"/>
          <w:i w:val="0"/>
          <w:iCs w:val="0"/>
          <w:caps w:val="0"/>
          <w:color w:val="000000"/>
          <w:spacing w:val="0"/>
          <w:sz w:val="21"/>
          <w:szCs w:val="21"/>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default" w:ascii="Calibri" w:hAnsi="Calibri" w:cs="Calibri"/>
          <w:i w:val="0"/>
          <w:iCs w:val="0"/>
          <w:caps w:val="0"/>
          <w:color w:val="000000"/>
          <w:spacing w:val="0"/>
          <w:sz w:val="21"/>
          <w:szCs w:val="2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Calibri" w:hAnsi="Calibri" w:cs="Calibri"/>
          <w:i w:val="0"/>
          <w:iCs w:val="0"/>
          <w:caps w:val="0"/>
          <w:color w:val="000000"/>
          <w:spacing w:val="0"/>
          <w:sz w:val="21"/>
          <w:szCs w:val="21"/>
        </w:rPr>
      </w:pPr>
      <w:r>
        <w:rPr>
          <w:rFonts w:hint="default" w:ascii="Calibri" w:hAnsi="Calibri" w:cs="Calibri"/>
          <w:i w:val="0"/>
          <w:iCs w:val="0"/>
          <w:caps w:val="0"/>
          <w:color w:val="000000"/>
          <w:spacing w:val="0"/>
          <w:sz w:val="21"/>
          <w:szCs w:val="21"/>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ascii="微软雅黑" w:hAnsi="微软雅黑" w:eastAsia="微软雅黑" w:cs="微软雅黑"/>
          <w:i w:val="0"/>
          <w:iCs w:val="0"/>
          <w:caps w:val="0"/>
          <w:color w:val="000000"/>
          <w:spacing w:val="0"/>
          <w:sz w:val="21"/>
          <w:szCs w:val="21"/>
        </w:rPr>
      </w:pPr>
      <w:r>
        <w:rPr>
          <w:rFonts w:hint="eastAsia" w:ascii="方正小标宋简体" w:hAnsi="方正小标宋简体" w:eastAsia="方正小标宋简体" w:cs="方正小标宋简体"/>
          <w:i w:val="0"/>
          <w:iCs w:val="0"/>
          <w:caps w:val="0"/>
          <w:color w:val="000000"/>
          <w:spacing w:val="0"/>
          <w:sz w:val="44"/>
          <w:szCs w:val="44"/>
          <w:shd w:val="clear" w:fill="FFFFFF"/>
        </w:rPr>
        <w:t>自治区进一步优化政务服务提升行政效能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方正小标宋简体" w:hAnsi="方正小标宋简体" w:eastAsia="方正小标宋简体" w:cs="方正小标宋简体"/>
          <w:i w:val="0"/>
          <w:iCs w:val="0"/>
          <w:caps w:val="0"/>
          <w:color w:val="000000"/>
          <w:spacing w:val="0"/>
          <w:sz w:val="44"/>
          <w:szCs w:val="44"/>
          <w:shd w:val="clear" w:fill="FFFFFF"/>
        </w:rPr>
        <w:t>推动“高效办成一件事”实施方案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default" w:ascii="Calibri" w:hAnsi="Calibri" w:cs="Calibri"/>
          <w:i w:val="0"/>
          <w:iCs w:val="0"/>
          <w:caps w:val="0"/>
          <w:color w:val="000000"/>
          <w:spacing w:val="0"/>
          <w:sz w:val="21"/>
          <w:szCs w:val="21"/>
        </w:rPr>
      </w:pPr>
      <w:r>
        <w:rPr>
          <w:rFonts w:hint="default" w:ascii="Calibri" w:hAnsi="Calibri" w:cs="Calibri"/>
          <w:i w:val="0"/>
          <w:iCs w:val="0"/>
          <w:caps w:val="0"/>
          <w:color w:val="000000"/>
          <w:spacing w:val="0"/>
          <w:sz w:val="21"/>
          <w:szCs w:val="21"/>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default" w:ascii="仿宋_GB2312" w:hAnsi="仿宋" w:eastAsia="仿宋_GB2312" w:cs="仿宋_GB2312"/>
          <w:i w:val="0"/>
          <w:iCs w:val="0"/>
          <w:caps w:val="0"/>
          <w:color w:val="000000"/>
          <w:spacing w:val="0"/>
          <w:sz w:val="32"/>
          <w:szCs w:val="32"/>
          <w:shd w:val="clear" w:fill="FFFFFF"/>
        </w:rPr>
        <w:t>为深入贯彻落实《国务院关于进一步优化政务服务提升行政效能推动“高效办成一件事”的指导意见》（国发〔</w:t>
      </w:r>
      <w:r>
        <w:rPr>
          <w:rFonts w:hint="default" w:ascii="Times New Roman" w:hAnsi="Times New Roman" w:eastAsia="仿宋" w:cs="Times New Roman"/>
          <w:i w:val="0"/>
          <w:iCs w:val="0"/>
          <w:caps w:val="0"/>
          <w:color w:val="000000"/>
          <w:spacing w:val="0"/>
          <w:sz w:val="32"/>
          <w:szCs w:val="32"/>
          <w:shd w:val="clear" w:fill="FFFFFF"/>
        </w:rPr>
        <w:t>2024</w:t>
      </w:r>
      <w:r>
        <w:rPr>
          <w:rFonts w:hint="default" w:ascii="仿宋_GB2312" w:hAnsi="仿宋" w:eastAsia="仿宋_GB2312" w:cs="仿宋_GB2312"/>
          <w:i w:val="0"/>
          <w:iCs w:val="0"/>
          <w:caps w:val="0"/>
          <w:color w:val="000000"/>
          <w:spacing w:val="0"/>
          <w:sz w:val="32"/>
          <w:szCs w:val="32"/>
          <w:shd w:val="clear" w:fill="FFFFFF"/>
        </w:rPr>
        <w:t>〕</w:t>
      </w:r>
      <w:r>
        <w:rPr>
          <w:rFonts w:hint="default" w:ascii="Times New Roman" w:hAnsi="Times New Roman" w:eastAsia="仿宋" w:cs="Times New Roman"/>
          <w:i w:val="0"/>
          <w:iCs w:val="0"/>
          <w:caps w:val="0"/>
          <w:color w:val="000000"/>
          <w:spacing w:val="0"/>
          <w:sz w:val="32"/>
          <w:szCs w:val="32"/>
          <w:shd w:val="clear" w:fill="FFFFFF"/>
        </w:rPr>
        <w:t>3</w:t>
      </w:r>
      <w:r>
        <w:rPr>
          <w:rFonts w:hint="default" w:ascii="仿宋_GB2312" w:hAnsi="仿宋" w:eastAsia="仿宋_GB2312" w:cs="仿宋_GB2312"/>
          <w:i w:val="0"/>
          <w:iCs w:val="0"/>
          <w:caps w:val="0"/>
          <w:color w:val="000000"/>
          <w:spacing w:val="0"/>
          <w:sz w:val="32"/>
          <w:szCs w:val="32"/>
          <w:shd w:val="clear" w:fill="FFFFFF"/>
        </w:rPr>
        <w:t>号）、《国务院办公厅关于依托全国一体化政务服务平台建立政务服务效能提升常态化工作机制的意见》（国办发〔</w:t>
      </w:r>
      <w:r>
        <w:rPr>
          <w:rFonts w:hint="default" w:ascii="Times New Roman" w:hAnsi="Times New Roman" w:eastAsia="仿宋" w:cs="Times New Roman"/>
          <w:i w:val="0"/>
          <w:iCs w:val="0"/>
          <w:caps w:val="0"/>
          <w:color w:val="000000"/>
          <w:spacing w:val="0"/>
          <w:sz w:val="32"/>
          <w:szCs w:val="32"/>
          <w:shd w:val="clear" w:fill="FFFFFF"/>
        </w:rPr>
        <w:t>2023</w:t>
      </w:r>
      <w:r>
        <w:rPr>
          <w:rFonts w:hint="default" w:ascii="仿宋_GB2312" w:hAnsi="仿宋" w:eastAsia="仿宋_GB2312" w:cs="仿宋_GB2312"/>
          <w:i w:val="0"/>
          <w:iCs w:val="0"/>
          <w:caps w:val="0"/>
          <w:color w:val="000000"/>
          <w:spacing w:val="0"/>
          <w:sz w:val="32"/>
          <w:szCs w:val="32"/>
          <w:shd w:val="clear" w:fill="FFFFFF"/>
        </w:rPr>
        <w:t>〕</w:t>
      </w:r>
      <w:r>
        <w:rPr>
          <w:rFonts w:hint="default" w:ascii="Times New Roman" w:hAnsi="Times New Roman" w:eastAsia="仿宋" w:cs="Times New Roman"/>
          <w:i w:val="0"/>
          <w:iCs w:val="0"/>
          <w:caps w:val="0"/>
          <w:color w:val="000000"/>
          <w:spacing w:val="0"/>
          <w:sz w:val="32"/>
          <w:szCs w:val="32"/>
          <w:shd w:val="clear" w:fill="FFFFFF"/>
        </w:rPr>
        <w:t>29</w:t>
      </w:r>
      <w:r>
        <w:rPr>
          <w:rFonts w:hint="default" w:ascii="仿宋_GB2312" w:hAnsi="仿宋" w:eastAsia="仿宋_GB2312" w:cs="仿宋_GB2312"/>
          <w:i w:val="0"/>
          <w:iCs w:val="0"/>
          <w:caps w:val="0"/>
          <w:color w:val="000000"/>
          <w:spacing w:val="0"/>
          <w:sz w:val="32"/>
          <w:szCs w:val="32"/>
          <w:shd w:val="clear" w:fill="FFFFFF"/>
        </w:rPr>
        <w:t>号）文件要求，现结合自治区实际，制定如下实施方案。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both"/>
        <w:rPr>
          <w:rFonts w:hint="eastAsia" w:ascii="微软雅黑" w:hAnsi="微软雅黑" w:eastAsia="微软雅黑" w:cs="微软雅黑"/>
          <w:i w:val="0"/>
          <w:iCs w:val="0"/>
          <w:caps w:val="0"/>
          <w:color w:val="000000"/>
          <w:spacing w:val="0"/>
          <w:sz w:val="21"/>
          <w:szCs w:val="21"/>
        </w:rPr>
      </w:pPr>
      <w:r>
        <w:rPr>
          <w:rFonts w:ascii="黑体" w:hAnsi="宋体" w:eastAsia="黑体" w:cs="黑体"/>
          <w:i w:val="0"/>
          <w:iCs w:val="0"/>
          <w:caps w:val="0"/>
          <w:color w:val="000000"/>
          <w:spacing w:val="0"/>
          <w:sz w:val="32"/>
          <w:szCs w:val="32"/>
          <w:shd w:val="clear" w:fill="FFFFFF"/>
        </w:rPr>
        <w:t>一、</w:t>
      </w:r>
      <w:r>
        <w:rPr>
          <w:rFonts w:hint="eastAsia" w:ascii="黑体" w:hAnsi="宋体" w:eastAsia="黑体" w:cs="黑体"/>
          <w:i w:val="0"/>
          <w:iCs w:val="0"/>
          <w:caps w:val="0"/>
          <w:color w:val="000000"/>
          <w:spacing w:val="0"/>
          <w:sz w:val="32"/>
          <w:szCs w:val="32"/>
          <w:shd w:val="clear" w:fill="FFFFFF"/>
        </w:rPr>
        <w:t>工作目标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default" w:ascii="仿宋_GB2312" w:hAnsi="仿宋" w:eastAsia="仿宋_GB2312" w:cs="仿宋_GB2312"/>
          <w:i w:val="0"/>
          <w:iCs w:val="0"/>
          <w:caps w:val="0"/>
          <w:color w:val="000000"/>
          <w:spacing w:val="0"/>
          <w:sz w:val="32"/>
          <w:szCs w:val="32"/>
          <w:shd w:val="clear" w:fill="FFFFFF"/>
        </w:rPr>
        <w:t>以习近平新时代中国特色社会主义思想为指导，全面贯彻落实党的二十大精神和习近平总书记关于新疆工作重要讲话重要指示批示精神，认真落实党中央、国务院和自治区党委、自治区人民政府关于转变政府职能、优化政务服务的决策部署，坚持问题导向和目标导向相结合，从企业和群众视角出发，把“高效办成一件事”作为优化政务服务、提升行政效能的重要抓手，加强整体设计，推动模式创新，注重改革引领和数字赋能双轮驱动，统筹发展和安全，推动线上线下融合发展，实现办事方式多元化、办事流程最优化、办事材料最简化、办事成本最小化，最大限度利企便民，激发经济社会发展内生动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default" w:ascii="Times New Roman" w:hAnsi="Times New Roman" w:eastAsia="仿宋" w:cs="Times New Roman"/>
          <w:i w:val="0"/>
          <w:iCs w:val="0"/>
          <w:caps w:val="0"/>
          <w:color w:val="000000"/>
          <w:spacing w:val="0"/>
          <w:sz w:val="32"/>
          <w:szCs w:val="32"/>
          <w:shd w:val="clear" w:fill="FFFFFF"/>
        </w:rPr>
        <w:t>2024</w:t>
      </w:r>
      <w:r>
        <w:rPr>
          <w:rFonts w:hint="default" w:ascii="仿宋_GB2312" w:hAnsi="仿宋" w:eastAsia="仿宋_GB2312" w:cs="仿宋_GB2312"/>
          <w:i w:val="0"/>
          <w:iCs w:val="0"/>
          <w:caps w:val="0"/>
          <w:color w:val="000000"/>
          <w:spacing w:val="0"/>
          <w:sz w:val="32"/>
          <w:szCs w:val="32"/>
          <w:shd w:val="clear" w:fill="FFFFFF"/>
        </w:rPr>
        <w:t>年，实现国家部署的第一批</w:t>
      </w:r>
      <w:r>
        <w:rPr>
          <w:rFonts w:hint="default" w:ascii="Times New Roman" w:hAnsi="Times New Roman" w:eastAsia="仿宋" w:cs="Times New Roman"/>
          <w:i w:val="0"/>
          <w:iCs w:val="0"/>
          <w:caps w:val="0"/>
          <w:color w:val="000000"/>
          <w:spacing w:val="0"/>
          <w:sz w:val="32"/>
          <w:szCs w:val="32"/>
          <w:shd w:val="clear" w:fill="FFFFFF"/>
        </w:rPr>
        <w:t>13</w:t>
      </w:r>
      <w:r>
        <w:rPr>
          <w:rFonts w:hint="default" w:ascii="仿宋_GB2312" w:hAnsi="仿宋" w:eastAsia="仿宋_GB2312" w:cs="仿宋_GB2312"/>
          <w:i w:val="0"/>
          <w:iCs w:val="0"/>
          <w:caps w:val="0"/>
          <w:color w:val="000000"/>
          <w:spacing w:val="0"/>
          <w:sz w:val="32"/>
          <w:szCs w:val="32"/>
          <w:shd w:val="clear" w:fill="FFFFFF"/>
        </w:rPr>
        <w:t>项“高效办成一件事”高效办理，自主推动更多“一件事”可办好办易办。</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default" w:ascii="Times New Roman" w:hAnsi="Times New Roman" w:eastAsia="仿宋" w:cs="Times New Roman"/>
          <w:i w:val="0"/>
          <w:iCs w:val="0"/>
          <w:caps w:val="0"/>
          <w:color w:val="000000"/>
          <w:spacing w:val="0"/>
          <w:sz w:val="32"/>
          <w:szCs w:val="32"/>
          <w:shd w:val="clear" w:fill="FFFFFF"/>
        </w:rPr>
        <w:t>2027</w:t>
      </w:r>
      <w:r>
        <w:rPr>
          <w:rFonts w:hint="default" w:ascii="仿宋_GB2312" w:hAnsi="仿宋" w:eastAsia="仿宋_GB2312" w:cs="仿宋_GB2312"/>
          <w:i w:val="0"/>
          <w:iCs w:val="0"/>
          <w:caps w:val="0"/>
          <w:color w:val="000000"/>
          <w:spacing w:val="0"/>
          <w:sz w:val="32"/>
          <w:szCs w:val="32"/>
          <w:shd w:val="clear" w:fill="FFFFFF"/>
        </w:rPr>
        <w:t>年，实现事项标准全面统一、数据全面共享、系统全面融通，个人和企业两个生命周期重点阶段高频服务全部实现“高效办成一件事”，基本形成泛在可及、智慧便捷、公平普惠的高效政务服务体系。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both"/>
        <w:rPr>
          <w:rFonts w:hint="eastAsia" w:ascii="微软雅黑" w:hAnsi="微软雅黑" w:eastAsia="微软雅黑" w:cs="微软雅黑"/>
          <w:i w:val="0"/>
          <w:iCs w:val="0"/>
          <w:caps w:val="0"/>
          <w:color w:val="000000"/>
          <w:spacing w:val="0"/>
          <w:sz w:val="21"/>
          <w:szCs w:val="21"/>
        </w:rPr>
      </w:pPr>
      <w:r>
        <w:rPr>
          <w:rFonts w:hint="eastAsia" w:ascii="黑体" w:hAnsi="宋体" w:eastAsia="黑体" w:cs="黑体"/>
          <w:i w:val="0"/>
          <w:iCs w:val="0"/>
          <w:caps w:val="0"/>
          <w:color w:val="000000"/>
          <w:spacing w:val="0"/>
          <w:sz w:val="32"/>
          <w:szCs w:val="32"/>
          <w:shd w:val="clear" w:fill="FFFFFF"/>
        </w:rPr>
        <w:t>二、工作任务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both"/>
        <w:rPr>
          <w:rFonts w:hint="eastAsia" w:ascii="微软雅黑" w:hAnsi="微软雅黑" w:eastAsia="微软雅黑" w:cs="微软雅黑"/>
          <w:i w:val="0"/>
          <w:iCs w:val="0"/>
          <w:caps w:val="0"/>
          <w:color w:val="000000"/>
          <w:spacing w:val="0"/>
          <w:sz w:val="21"/>
          <w:szCs w:val="21"/>
        </w:rPr>
      </w:pPr>
      <w:r>
        <w:rPr>
          <w:rFonts w:ascii="楷体" w:hAnsi="楷体" w:eastAsia="楷体" w:cs="楷体"/>
          <w:i w:val="0"/>
          <w:iCs w:val="0"/>
          <w:caps w:val="0"/>
          <w:color w:val="000000"/>
          <w:spacing w:val="0"/>
          <w:sz w:val="32"/>
          <w:szCs w:val="32"/>
          <w:shd w:val="clear" w:fill="FFFFFF"/>
        </w:rPr>
        <w:t>（一）推进线下办事</w:t>
      </w:r>
      <w:r>
        <w:rPr>
          <w:rFonts w:hint="eastAsia" w:ascii="楷体" w:hAnsi="楷体" w:eastAsia="楷体" w:cs="楷体"/>
          <w:i w:val="0"/>
          <w:iCs w:val="0"/>
          <w:caps w:val="0"/>
          <w:color w:val="000000"/>
          <w:spacing w:val="0"/>
          <w:sz w:val="32"/>
          <w:szCs w:val="32"/>
          <w:shd w:val="clear" w:fill="FFFFFF"/>
        </w:rPr>
        <w:t>“只进一门”。</w:t>
      </w:r>
      <w:r>
        <w:rPr>
          <w:rFonts w:hint="default" w:ascii="仿宋_GB2312" w:hAnsi="仿宋" w:eastAsia="仿宋_GB2312" w:cs="仿宋_GB2312"/>
          <w:i w:val="0"/>
          <w:iCs w:val="0"/>
          <w:caps w:val="0"/>
          <w:color w:val="000000"/>
          <w:spacing w:val="0"/>
          <w:sz w:val="32"/>
          <w:szCs w:val="32"/>
          <w:shd w:val="clear" w:fill="FFFFFF"/>
        </w:rPr>
        <w:t>完善集约高效的线下政务服务体系，合理设置综合服务窗口（含“高效办成一件事”综合窗口）和专业服务窗口。建立政务服务中心进驻事项负面清单制度，完善“首席事务代表”制度，原则上政务服务事项均应纳入政务服务中心集中办理，依托自治区一体化政务服务平台实现统一受理和一站式办理。各地统筹推进便民服务中心（站）建设，依托现有党政机关服务场所、党群服务中心、村（社区）服务活动场所等各类场地推进各地便民服务中心（站）建设。推广“新智助”服务终端建设，鼓励在银行网点、邮政网点、园区、大型商超、文体场馆等有条件、有需求的场所设置帮办代办便民服务点，探索利用集成式自助终端提供“</w:t>
      </w:r>
      <w:r>
        <w:rPr>
          <w:rFonts w:hint="default" w:ascii="Times New Roman" w:hAnsi="Times New Roman" w:eastAsia="微软雅黑" w:cs="Times New Roman"/>
          <w:i w:val="0"/>
          <w:iCs w:val="0"/>
          <w:caps w:val="0"/>
          <w:color w:val="000000"/>
          <w:spacing w:val="0"/>
          <w:sz w:val="32"/>
          <w:szCs w:val="32"/>
          <w:shd w:val="clear" w:fill="FFFFFF"/>
        </w:rPr>
        <w:t>24</w:t>
      </w:r>
      <w:r>
        <w:rPr>
          <w:rFonts w:hint="default" w:ascii="仿宋_GB2312" w:hAnsi="仿宋" w:eastAsia="仿宋_GB2312" w:cs="仿宋_GB2312"/>
          <w:i w:val="0"/>
          <w:iCs w:val="0"/>
          <w:caps w:val="0"/>
          <w:color w:val="000000"/>
          <w:spacing w:val="0"/>
          <w:sz w:val="32"/>
          <w:szCs w:val="32"/>
          <w:shd w:val="clear" w:fill="FFFFFF"/>
        </w:rPr>
        <w:t>小时不打烊”服务。</w:t>
      </w:r>
      <w:r>
        <w:rPr>
          <w:rFonts w:hint="eastAsia" w:ascii="仿宋" w:hAnsi="仿宋" w:eastAsia="仿宋" w:cs="仿宋"/>
          <w:i w:val="0"/>
          <w:iCs w:val="0"/>
          <w:caps w:val="0"/>
          <w:color w:val="000000"/>
          <w:spacing w:val="0"/>
          <w:sz w:val="32"/>
          <w:szCs w:val="32"/>
          <w:shd w:val="clear" w:fill="FFFFFF"/>
        </w:rPr>
        <w:t>（</w:t>
      </w:r>
      <w:r>
        <w:rPr>
          <w:rFonts w:hint="eastAsia" w:ascii="楷体" w:hAnsi="楷体" w:eastAsia="楷体" w:cs="楷体"/>
          <w:i w:val="0"/>
          <w:iCs w:val="0"/>
          <w:caps w:val="0"/>
          <w:color w:val="000000"/>
          <w:spacing w:val="0"/>
          <w:sz w:val="32"/>
          <w:szCs w:val="32"/>
          <w:shd w:val="clear" w:fill="FFFFFF"/>
        </w:rPr>
        <w:t>责任单位</w:t>
      </w:r>
      <w:r>
        <w:rPr>
          <w:rFonts w:hint="eastAsia" w:ascii="楷体" w:hAnsi="微软雅黑" w:eastAsia="楷体" w:cs="楷体"/>
          <w:i w:val="0"/>
          <w:iCs w:val="0"/>
          <w:caps w:val="0"/>
          <w:color w:val="000000"/>
          <w:spacing w:val="0"/>
          <w:sz w:val="32"/>
          <w:szCs w:val="32"/>
          <w:shd w:val="clear" w:fill="FFFFFF"/>
        </w:rPr>
        <w:t>：</w:t>
      </w:r>
      <w:r>
        <w:rPr>
          <w:rFonts w:hint="default" w:ascii="仿宋_GB2312" w:hAnsi="仿宋" w:eastAsia="仿宋_GB2312" w:cs="仿宋_GB2312"/>
          <w:i w:val="0"/>
          <w:iCs w:val="0"/>
          <w:caps w:val="0"/>
          <w:color w:val="000000"/>
          <w:spacing w:val="0"/>
          <w:sz w:val="32"/>
          <w:szCs w:val="32"/>
          <w:shd w:val="clear" w:fill="FFFFFF"/>
        </w:rPr>
        <w:t>自治区数字化发展局，自治区各有关部门，各州、市人民政府，各行政公署</w:t>
      </w:r>
      <w:r>
        <w:rPr>
          <w:rFonts w:hint="eastAsia" w:ascii="仿宋" w:hAnsi="仿宋" w:eastAsia="仿宋" w:cs="仿宋"/>
          <w:i w:val="0"/>
          <w:iCs w:val="0"/>
          <w:caps w:val="0"/>
          <w:color w:val="000000"/>
          <w:spacing w:val="0"/>
          <w:sz w:val="32"/>
          <w:szCs w:val="32"/>
          <w:shd w:val="clear" w:fill="FFFFFF"/>
        </w:rPr>
        <w:t> </w:t>
      </w:r>
      <w:r>
        <w:rPr>
          <w:rFonts w:hint="eastAsia" w:ascii="楷体" w:hAnsi="楷体" w:eastAsia="楷体" w:cs="楷体"/>
          <w:i w:val="0"/>
          <w:iCs w:val="0"/>
          <w:caps w:val="0"/>
          <w:color w:val="000000"/>
          <w:spacing w:val="0"/>
          <w:sz w:val="32"/>
          <w:szCs w:val="32"/>
          <w:shd w:val="clear" w:fill="FFFFFF"/>
        </w:rPr>
        <w:t>完成时限</w:t>
      </w:r>
      <w:r>
        <w:rPr>
          <w:rFonts w:hint="eastAsia" w:ascii="楷体" w:hAnsi="微软雅黑" w:eastAsia="楷体" w:cs="楷体"/>
          <w:i w:val="0"/>
          <w:iCs w:val="0"/>
          <w:caps w:val="0"/>
          <w:color w:val="000000"/>
          <w:spacing w:val="0"/>
          <w:sz w:val="32"/>
          <w:szCs w:val="32"/>
          <w:shd w:val="clear" w:fill="FFFFFF"/>
        </w:rPr>
        <w:t>：</w:t>
      </w:r>
      <w:r>
        <w:rPr>
          <w:rFonts w:hint="default" w:ascii="Times New Roman" w:hAnsi="Times New Roman" w:eastAsia="微软雅黑" w:cs="Times New Roman"/>
          <w:i w:val="0"/>
          <w:iCs w:val="0"/>
          <w:caps w:val="0"/>
          <w:color w:val="000000"/>
          <w:spacing w:val="0"/>
          <w:sz w:val="32"/>
          <w:szCs w:val="32"/>
          <w:shd w:val="clear" w:fill="FFFFFF"/>
        </w:rPr>
        <w:t>2024</w:t>
      </w:r>
      <w:r>
        <w:rPr>
          <w:rFonts w:hint="default" w:ascii="仿宋_GB2312" w:hAnsi="仿宋" w:eastAsia="仿宋_GB2312" w:cs="仿宋_GB2312"/>
          <w:i w:val="0"/>
          <w:iCs w:val="0"/>
          <w:caps w:val="0"/>
          <w:color w:val="000000"/>
          <w:spacing w:val="0"/>
          <w:sz w:val="32"/>
          <w:szCs w:val="32"/>
          <w:shd w:val="clear" w:fill="FFFFFF"/>
        </w:rPr>
        <w:t>年</w:t>
      </w:r>
      <w:r>
        <w:rPr>
          <w:rFonts w:hint="default" w:ascii="Times New Roman" w:hAnsi="Times New Roman" w:eastAsia="仿宋" w:cs="Times New Roman"/>
          <w:i w:val="0"/>
          <w:iCs w:val="0"/>
          <w:caps w:val="0"/>
          <w:color w:val="000000"/>
          <w:spacing w:val="0"/>
          <w:sz w:val="32"/>
          <w:szCs w:val="32"/>
          <w:shd w:val="clear" w:fill="FFFFFF"/>
        </w:rPr>
        <w:t>10</w:t>
      </w:r>
      <w:r>
        <w:rPr>
          <w:rFonts w:hint="default" w:ascii="仿宋_GB2312" w:hAnsi="仿宋" w:eastAsia="仿宋_GB2312" w:cs="仿宋_GB2312"/>
          <w:i w:val="0"/>
          <w:iCs w:val="0"/>
          <w:caps w:val="0"/>
          <w:color w:val="000000"/>
          <w:spacing w:val="0"/>
          <w:sz w:val="32"/>
          <w:szCs w:val="32"/>
          <w:shd w:val="clear" w:fill="FFFFFF"/>
        </w:rPr>
        <w:t>月底前取得阶段性成效，持续推进）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both"/>
        <w:rPr>
          <w:rFonts w:hint="eastAsia" w:ascii="微软雅黑" w:hAnsi="微软雅黑" w:eastAsia="微软雅黑" w:cs="微软雅黑"/>
          <w:i w:val="0"/>
          <w:iCs w:val="0"/>
          <w:caps w:val="0"/>
          <w:color w:val="000000"/>
          <w:spacing w:val="0"/>
          <w:sz w:val="21"/>
          <w:szCs w:val="21"/>
        </w:rPr>
      </w:pPr>
      <w:r>
        <w:rPr>
          <w:rFonts w:hint="eastAsia" w:ascii="楷体" w:hAnsi="微软雅黑" w:eastAsia="楷体" w:cs="楷体"/>
          <w:i w:val="0"/>
          <w:iCs w:val="0"/>
          <w:caps w:val="0"/>
          <w:color w:val="000000"/>
          <w:spacing w:val="0"/>
          <w:sz w:val="32"/>
          <w:szCs w:val="32"/>
          <w:shd w:val="clear" w:fill="FFFFFF"/>
        </w:rPr>
        <w:t>（二）推进线上办事“一网通办”。</w:t>
      </w:r>
      <w:r>
        <w:rPr>
          <w:rFonts w:hint="eastAsia" w:ascii="仿宋" w:hAnsi="仿宋" w:eastAsia="仿宋" w:cs="仿宋"/>
          <w:i w:val="0"/>
          <w:iCs w:val="0"/>
          <w:caps w:val="0"/>
          <w:color w:val="000000"/>
          <w:spacing w:val="0"/>
          <w:sz w:val="32"/>
          <w:szCs w:val="32"/>
          <w:shd w:val="clear" w:fill="FFFFFF"/>
        </w:rPr>
        <w:t>以自治区一体化政务服务平台为总入口，持续深化政务服务事项“三级二十二同”标准化规范化便利化工作。整合联通各类办事服务系统，推动各类政务服务事项和应用“应接尽接、应上尽上”。加快实现政务服务统一受理、政务数据实时汇聚。推动水电气热、医疗卫生、招商服务等便民利企应用接入“新服办、新企办”</w:t>
      </w:r>
      <w:r>
        <w:rPr>
          <w:rFonts w:hint="default" w:ascii="Times New Roman" w:hAnsi="Times New Roman" w:eastAsia="微软雅黑" w:cs="Times New Roman"/>
          <w:i w:val="0"/>
          <w:iCs w:val="0"/>
          <w:caps w:val="0"/>
          <w:color w:val="000000"/>
          <w:spacing w:val="0"/>
          <w:sz w:val="32"/>
          <w:szCs w:val="32"/>
          <w:shd w:val="clear" w:fill="FFFFFF"/>
        </w:rPr>
        <w:t>APP</w:t>
      </w:r>
      <w:r>
        <w:rPr>
          <w:rFonts w:hint="eastAsia" w:ascii="仿宋" w:hAnsi="仿宋" w:eastAsia="仿宋" w:cs="仿宋"/>
          <w:i w:val="0"/>
          <w:iCs w:val="0"/>
          <w:caps w:val="0"/>
          <w:color w:val="000000"/>
          <w:spacing w:val="0"/>
          <w:sz w:val="32"/>
          <w:szCs w:val="32"/>
          <w:shd w:val="clear" w:fill="FFFFFF"/>
        </w:rPr>
        <w:t>，实现更多高频事项掌上办。推动全区政务服务事项及办事指南在</w:t>
      </w:r>
      <w:r>
        <w:rPr>
          <w:rFonts w:hint="default" w:ascii="Times New Roman" w:hAnsi="Times New Roman" w:eastAsia="微软雅黑" w:cs="Times New Roman"/>
          <w:i w:val="0"/>
          <w:iCs w:val="0"/>
          <w:caps w:val="0"/>
          <w:color w:val="000000"/>
          <w:spacing w:val="0"/>
          <w:sz w:val="32"/>
          <w:szCs w:val="32"/>
          <w:shd w:val="clear" w:fill="FFFFFF"/>
        </w:rPr>
        <w:t>PC</w:t>
      </w:r>
      <w:r>
        <w:rPr>
          <w:rFonts w:hint="eastAsia" w:ascii="仿宋" w:hAnsi="仿宋" w:eastAsia="仿宋" w:cs="仿宋"/>
          <w:i w:val="0"/>
          <w:iCs w:val="0"/>
          <w:caps w:val="0"/>
          <w:color w:val="000000"/>
          <w:spacing w:val="0"/>
          <w:sz w:val="32"/>
          <w:szCs w:val="32"/>
          <w:shd w:val="clear" w:fill="FFFFFF"/>
        </w:rPr>
        <w:t>端、移动端、窗口端、自助端“同源发布、一次提交、多端获取”。（</w:t>
      </w:r>
      <w:r>
        <w:rPr>
          <w:rFonts w:hint="eastAsia" w:ascii="楷体" w:hAnsi="宋体" w:eastAsia="楷体" w:cs="楷体"/>
          <w:i w:val="0"/>
          <w:iCs w:val="0"/>
          <w:caps w:val="0"/>
          <w:color w:val="000000"/>
          <w:spacing w:val="0"/>
          <w:sz w:val="32"/>
          <w:szCs w:val="32"/>
          <w:shd w:val="clear" w:fill="FFFFFF"/>
        </w:rPr>
        <w:t>责任单位：</w:t>
      </w:r>
      <w:r>
        <w:rPr>
          <w:rFonts w:hint="eastAsia" w:ascii="仿宋" w:hAnsi="仿宋" w:eastAsia="仿宋" w:cs="仿宋"/>
          <w:i w:val="0"/>
          <w:iCs w:val="0"/>
          <w:caps w:val="0"/>
          <w:color w:val="000000"/>
          <w:spacing w:val="0"/>
          <w:sz w:val="32"/>
          <w:szCs w:val="32"/>
          <w:shd w:val="clear" w:fill="FFFFFF"/>
        </w:rPr>
        <w:t>自治区住房和城乡建设厅</w:t>
      </w:r>
      <w:r>
        <w:rPr>
          <w:rFonts w:hint="default" w:ascii="仿宋_GB2312" w:hAnsi="宋体" w:eastAsia="仿宋_GB2312" w:cs="仿宋_GB2312"/>
          <w:i w:val="0"/>
          <w:iCs w:val="0"/>
          <w:caps w:val="0"/>
          <w:color w:val="000000"/>
          <w:spacing w:val="0"/>
          <w:sz w:val="32"/>
          <w:szCs w:val="32"/>
          <w:shd w:val="clear" w:fill="FFFFFF"/>
        </w:rPr>
        <w:t>、商务厅、卫生健康委、医保局、数字化发展局、国网新疆电力有限公司，自治区各有关部门，各州、市人民政府</w:t>
      </w:r>
      <w:r>
        <w:rPr>
          <w:rFonts w:hint="default" w:ascii="仿宋_GB2312" w:hAnsi="微软雅黑" w:eastAsia="仿宋_GB2312" w:cs="仿宋_GB2312"/>
          <w:i w:val="0"/>
          <w:iCs w:val="0"/>
          <w:caps w:val="0"/>
          <w:color w:val="000000"/>
          <w:spacing w:val="0"/>
          <w:sz w:val="32"/>
          <w:szCs w:val="32"/>
          <w:shd w:val="clear" w:fill="FFFFFF"/>
        </w:rPr>
        <w:t>，各行政公署</w:t>
      </w:r>
      <w:r>
        <w:rPr>
          <w:rFonts w:ascii="方正楷体_GBK" w:hAnsi="方正楷体_GBK" w:eastAsia="方正楷体_GBK" w:cs="方正楷体_GBK"/>
          <w:i w:val="0"/>
          <w:iCs w:val="0"/>
          <w:caps w:val="0"/>
          <w:color w:val="000000"/>
          <w:spacing w:val="0"/>
          <w:sz w:val="32"/>
          <w:szCs w:val="32"/>
          <w:shd w:val="clear" w:fill="FFFFFF"/>
        </w:rPr>
        <w:t>  </w:t>
      </w:r>
      <w:r>
        <w:rPr>
          <w:rFonts w:hint="eastAsia" w:ascii="楷体" w:hAnsi="宋体" w:eastAsia="楷体" w:cs="楷体"/>
          <w:i w:val="0"/>
          <w:iCs w:val="0"/>
          <w:caps w:val="0"/>
          <w:color w:val="000000"/>
          <w:spacing w:val="0"/>
          <w:sz w:val="32"/>
          <w:szCs w:val="32"/>
          <w:shd w:val="clear" w:fill="FFFFFF"/>
        </w:rPr>
        <w:t>完成时限：</w:t>
      </w:r>
      <w:r>
        <w:rPr>
          <w:rFonts w:hint="default" w:ascii="Times New Roman" w:hAnsi="Times New Roman" w:eastAsia="微软雅黑" w:cs="Times New Roman"/>
          <w:i w:val="0"/>
          <w:iCs w:val="0"/>
          <w:caps w:val="0"/>
          <w:color w:val="000000"/>
          <w:spacing w:val="0"/>
          <w:sz w:val="32"/>
          <w:szCs w:val="32"/>
          <w:shd w:val="clear" w:fill="FFFFFF"/>
        </w:rPr>
        <w:t>2024</w:t>
      </w:r>
      <w:r>
        <w:rPr>
          <w:rFonts w:hint="eastAsia" w:ascii="仿宋" w:hAnsi="仿宋" w:eastAsia="仿宋" w:cs="仿宋"/>
          <w:i w:val="0"/>
          <w:iCs w:val="0"/>
          <w:caps w:val="0"/>
          <w:color w:val="000000"/>
          <w:spacing w:val="0"/>
          <w:sz w:val="32"/>
          <w:szCs w:val="32"/>
          <w:shd w:val="clear" w:fill="FFFFFF"/>
        </w:rPr>
        <w:t>年</w:t>
      </w:r>
      <w:r>
        <w:rPr>
          <w:rFonts w:hint="default" w:ascii="Times New Roman" w:hAnsi="Times New Roman" w:eastAsia="微软雅黑" w:cs="Times New Roman"/>
          <w:i w:val="0"/>
          <w:iCs w:val="0"/>
          <w:caps w:val="0"/>
          <w:color w:val="000000"/>
          <w:spacing w:val="0"/>
          <w:sz w:val="32"/>
          <w:szCs w:val="32"/>
          <w:shd w:val="clear" w:fill="FFFFFF"/>
        </w:rPr>
        <w:t>10</w:t>
      </w:r>
      <w:r>
        <w:rPr>
          <w:rFonts w:hint="eastAsia" w:ascii="仿宋" w:hAnsi="仿宋" w:eastAsia="仿宋" w:cs="仿宋"/>
          <w:i w:val="0"/>
          <w:iCs w:val="0"/>
          <w:caps w:val="0"/>
          <w:color w:val="000000"/>
          <w:spacing w:val="0"/>
          <w:sz w:val="32"/>
          <w:szCs w:val="32"/>
          <w:shd w:val="clear" w:fill="FFFFFF"/>
        </w:rPr>
        <w:t>月底前取得阶段性成效，持续推进）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both"/>
        <w:rPr>
          <w:rFonts w:hint="eastAsia" w:ascii="微软雅黑" w:hAnsi="微软雅黑" w:eastAsia="微软雅黑" w:cs="微软雅黑"/>
          <w:i w:val="0"/>
          <w:iCs w:val="0"/>
          <w:caps w:val="0"/>
          <w:color w:val="000000"/>
          <w:spacing w:val="0"/>
          <w:sz w:val="21"/>
          <w:szCs w:val="21"/>
        </w:rPr>
      </w:pPr>
      <w:r>
        <w:rPr>
          <w:rFonts w:hint="eastAsia" w:ascii="楷体" w:hAnsi="楷体" w:eastAsia="楷体" w:cs="楷体"/>
          <w:i w:val="0"/>
          <w:iCs w:val="0"/>
          <w:caps w:val="0"/>
          <w:color w:val="000000"/>
          <w:spacing w:val="0"/>
          <w:sz w:val="32"/>
          <w:szCs w:val="32"/>
          <w:shd w:val="clear" w:fill="FFFFFF"/>
        </w:rPr>
        <w:t>（三）推进企业和群众诉求“一线应答”。</w:t>
      </w:r>
      <w:r>
        <w:rPr>
          <w:rFonts w:hint="eastAsia" w:ascii="仿宋" w:hAnsi="仿宋" w:eastAsia="仿宋" w:cs="仿宋"/>
          <w:i w:val="0"/>
          <w:iCs w:val="0"/>
          <w:caps w:val="0"/>
          <w:color w:val="000000"/>
          <w:spacing w:val="0"/>
          <w:sz w:val="32"/>
          <w:szCs w:val="32"/>
          <w:shd w:val="clear" w:fill="FFFFFF"/>
        </w:rPr>
        <w:t>利用信息化技术，提供智能在线应答支撑，优化提升“12345</w:t>
      </w:r>
      <w:r>
        <w:rPr>
          <w:rFonts w:hint="default" w:ascii="Times New Roman" w:hAnsi="Times New Roman" w:eastAsia="微软雅黑" w:cs="Times New Roman"/>
          <w:b/>
          <w:bCs/>
          <w:i w:val="0"/>
          <w:iCs w:val="0"/>
          <w:caps w:val="0"/>
          <w:color w:val="000000"/>
          <w:spacing w:val="0"/>
          <w:sz w:val="32"/>
          <w:szCs w:val="32"/>
          <w:shd w:val="clear" w:fill="FFFFFF"/>
        </w:rPr>
        <w:t>+</w:t>
      </w:r>
      <w:r>
        <w:rPr>
          <w:rFonts w:hint="default" w:ascii="仿宋_GB2312" w:hAnsi="仿宋" w:eastAsia="仿宋_GB2312" w:cs="仿宋_GB2312"/>
          <w:i w:val="0"/>
          <w:iCs w:val="0"/>
          <w:caps w:val="0"/>
          <w:color w:val="000000"/>
          <w:spacing w:val="0"/>
          <w:sz w:val="32"/>
          <w:szCs w:val="32"/>
          <w:shd w:val="clear" w:fill="FFFFFF"/>
        </w:rPr>
        <w:t>”接诉即办能力，实现“多渠道拓展、多部门联动、多平台融合、多智能支撑、多数据分析”的“一线应答”模式。进一步推进场地、话务、工单和数据等标准化，完善全区诉求分类归口标准化管理，分类设置营商环境、基层减负等专项工作归口，设立营商环境等重点领域专席。进一步细化</w:t>
      </w:r>
      <w:r>
        <w:rPr>
          <w:rFonts w:hint="default" w:ascii="Times New Roman" w:hAnsi="Times New Roman" w:eastAsia="仿宋" w:cs="Times New Roman"/>
          <w:i w:val="0"/>
          <w:iCs w:val="0"/>
          <w:caps w:val="0"/>
          <w:color w:val="000000"/>
          <w:spacing w:val="0"/>
          <w:sz w:val="32"/>
          <w:szCs w:val="32"/>
          <w:shd w:val="clear" w:fill="FFFFFF"/>
        </w:rPr>
        <w:t>12345</w:t>
      </w:r>
      <w:r>
        <w:rPr>
          <w:rFonts w:hint="default" w:ascii="仿宋_GB2312" w:hAnsi="仿宋" w:eastAsia="仿宋_GB2312" w:cs="仿宋_GB2312"/>
          <w:i w:val="0"/>
          <w:iCs w:val="0"/>
          <w:caps w:val="0"/>
          <w:color w:val="000000"/>
          <w:spacing w:val="0"/>
          <w:sz w:val="32"/>
          <w:szCs w:val="32"/>
          <w:shd w:val="clear" w:fill="FFFFFF"/>
        </w:rPr>
        <w:t>与</w:t>
      </w:r>
      <w:r>
        <w:rPr>
          <w:rFonts w:hint="default" w:ascii="Times New Roman" w:hAnsi="Times New Roman" w:eastAsia="仿宋" w:cs="Times New Roman"/>
          <w:i w:val="0"/>
          <w:iCs w:val="0"/>
          <w:caps w:val="0"/>
          <w:color w:val="000000"/>
          <w:spacing w:val="0"/>
          <w:sz w:val="32"/>
          <w:szCs w:val="32"/>
          <w:shd w:val="clear" w:fill="FFFFFF"/>
        </w:rPr>
        <w:t>110</w:t>
      </w:r>
      <w:r>
        <w:rPr>
          <w:rFonts w:hint="default" w:ascii="仿宋_GB2312" w:hAnsi="仿宋" w:eastAsia="仿宋_GB2312" w:cs="仿宋_GB2312"/>
          <w:i w:val="0"/>
          <w:iCs w:val="0"/>
          <w:caps w:val="0"/>
          <w:color w:val="000000"/>
          <w:spacing w:val="0"/>
          <w:sz w:val="32"/>
          <w:szCs w:val="32"/>
          <w:shd w:val="clear" w:fill="FFFFFF"/>
        </w:rPr>
        <w:t>非警务警情的职责边界，实现“受理、互转、办理、反馈、督办、回访、重办、评价”等环节闭环管理。推进兵地融合，不断拓展民生诉求渠道，强化问题预警和数据分析，提高企业群众诉求收集、处理和回访的精细化和精准度。（</w:t>
      </w:r>
      <w:r>
        <w:rPr>
          <w:rFonts w:hint="eastAsia" w:ascii="楷体" w:hAnsi="楷体" w:eastAsia="楷体" w:cs="楷体"/>
          <w:i w:val="0"/>
          <w:iCs w:val="0"/>
          <w:caps w:val="0"/>
          <w:color w:val="000000"/>
          <w:spacing w:val="0"/>
          <w:sz w:val="32"/>
          <w:szCs w:val="32"/>
          <w:shd w:val="clear" w:fill="FFFFFF"/>
        </w:rPr>
        <w:t>责任单位：</w:t>
      </w:r>
      <w:r>
        <w:rPr>
          <w:rFonts w:hint="eastAsia" w:ascii="仿宋" w:hAnsi="仿宋" w:eastAsia="仿宋" w:cs="仿宋"/>
          <w:i w:val="0"/>
          <w:iCs w:val="0"/>
          <w:caps w:val="0"/>
          <w:color w:val="000000"/>
          <w:spacing w:val="0"/>
          <w:sz w:val="32"/>
          <w:szCs w:val="32"/>
          <w:shd w:val="clear" w:fill="FFFFFF"/>
        </w:rPr>
        <w:t>自治区公安厅、数字化发展局，自治区各有关部门，各州、市人民政府，各行政公署</w:t>
      </w:r>
      <w:r>
        <w:rPr>
          <w:rFonts w:hint="eastAsia" w:ascii="方正楷体_GBK" w:hAnsi="方正楷体_GBK" w:eastAsia="方正楷体_GBK" w:cs="方正楷体_GBK"/>
          <w:i w:val="0"/>
          <w:iCs w:val="0"/>
          <w:caps w:val="0"/>
          <w:color w:val="000000"/>
          <w:spacing w:val="0"/>
          <w:sz w:val="32"/>
          <w:szCs w:val="32"/>
          <w:shd w:val="clear" w:fill="FFFFFF"/>
        </w:rPr>
        <w:t>  </w:t>
      </w:r>
      <w:r>
        <w:rPr>
          <w:rFonts w:hint="eastAsia" w:ascii="楷体" w:hAnsi="楷体" w:eastAsia="楷体" w:cs="楷体"/>
          <w:i w:val="0"/>
          <w:iCs w:val="0"/>
          <w:caps w:val="0"/>
          <w:color w:val="000000"/>
          <w:spacing w:val="0"/>
          <w:sz w:val="32"/>
          <w:szCs w:val="32"/>
          <w:shd w:val="clear" w:fill="FFFFFF"/>
        </w:rPr>
        <w:t>完成时限：</w:t>
      </w:r>
      <w:r>
        <w:rPr>
          <w:rFonts w:hint="default" w:ascii="Times New Roman" w:hAnsi="Times New Roman" w:eastAsia="微软雅黑" w:cs="Times New Roman"/>
          <w:i w:val="0"/>
          <w:iCs w:val="0"/>
          <w:caps w:val="0"/>
          <w:color w:val="000000"/>
          <w:spacing w:val="0"/>
          <w:sz w:val="32"/>
          <w:szCs w:val="32"/>
          <w:shd w:val="clear" w:fill="FFFFFF"/>
        </w:rPr>
        <w:t>2024</w:t>
      </w:r>
      <w:r>
        <w:rPr>
          <w:rFonts w:hint="eastAsia" w:ascii="仿宋" w:hAnsi="仿宋" w:eastAsia="仿宋" w:cs="仿宋"/>
          <w:i w:val="0"/>
          <w:iCs w:val="0"/>
          <w:caps w:val="0"/>
          <w:color w:val="000000"/>
          <w:spacing w:val="0"/>
          <w:sz w:val="32"/>
          <w:szCs w:val="32"/>
          <w:shd w:val="clear" w:fill="FFFFFF"/>
        </w:rPr>
        <w:t>年</w:t>
      </w:r>
      <w:r>
        <w:rPr>
          <w:rFonts w:hint="default" w:ascii="Times New Roman" w:hAnsi="Times New Roman" w:eastAsia="仿宋" w:cs="Times New Roman"/>
          <w:i w:val="0"/>
          <w:iCs w:val="0"/>
          <w:caps w:val="0"/>
          <w:color w:val="000000"/>
          <w:spacing w:val="0"/>
          <w:sz w:val="32"/>
          <w:szCs w:val="32"/>
          <w:shd w:val="clear" w:fill="FFFFFF"/>
        </w:rPr>
        <w:t>12</w:t>
      </w:r>
      <w:r>
        <w:rPr>
          <w:rFonts w:hint="eastAsia" w:ascii="仿宋" w:hAnsi="仿宋" w:eastAsia="仿宋" w:cs="仿宋"/>
          <w:i w:val="0"/>
          <w:iCs w:val="0"/>
          <w:caps w:val="0"/>
          <w:color w:val="000000"/>
          <w:spacing w:val="0"/>
          <w:sz w:val="32"/>
          <w:szCs w:val="32"/>
          <w:shd w:val="clear" w:fill="FFFFFF"/>
        </w:rPr>
        <w:t>月底前，持续推进</w:t>
      </w:r>
      <w:r>
        <w:rPr>
          <w:rFonts w:hint="default" w:ascii="Times New Roman" w:hAnsi="Times New Roman" w:eastAsia="方正楷体_GBK" w:cs="Times New Roman"/>
          <w:i w:val="0"/>
          <w:iCs w:val="0"/>
          <w:caps w:val="0"/>
          <w:color w:val="000000"/>
          <w:spacing w:val="0"/>
          <w:sz w:val="32"/>
          <w:szCs w:val="32"/>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both"/>
        <w:rPr>
          <w:rFonts w:hint="eastAsia" w:ascii="宋体" w:hAnsi="宋体" w:eastAsia="宋体" w:cs="宋体"/>
          <w:i w:val="0"/>
          <w:iCs w:val="0"/>
          <w:caps w:val="0"/>
          <w:color w:val="000000"/>
          <w:spacing w:val="0"/>
          <w:sz w:val="21"/>
          <w:szCs w:val="21"/>
        </w:rPr>
      </w:pPr>
      <w:r>
        <w:rPr>
          <w:rFonts w:hint="eastAsia" w:ascii="楷体" w:hAnsi="楷体" w:eastAsia="楷体" w:cs="楷体"/>
          <w:i w:val="0"/>
          <w:iCs w:val="0"/>
          <w:caps w:val="0"/>
          <w:color w:val="000000"/>
          <w:spacing w:val="0"/>
          <w:sz w:val="32"/>
          <w:szCs w:val="32"/>
          <w:shd w:val="clear" w:fill="FFFFFF"/>
        </w:rPr>
        <w:t>（四）推进关联事项集成办。</w:t>
      </w:r>
      <w:r>
        <w:rPr>
          <w:rFonts w:hint="eastAsia" w:ascii="仿宋" w:hAnsi="仿宋" w:eastAsia="仿宋" w:cs="仿宋"/>
          <w:i w:val="0"/>
          <w:iCs w:val="0"/>
          <w:caps w:val="0"/>
          <w:color w:val="000000"/>
          <w:spacing w:val="0"/>
          <w:sz w:val="32"/>
          <w:szCs w:val="32"/>
          <w:shd w:val="clear" w:fill="FFFFFF"/>
        </w:rPr>
        <w:t>各地各部门按照自治区统建模式，梳理本地本部门“高效办成一件事”办事场景，优化跨部门办理业务流程，逐项编制工作规程和办事指南，持续拓展全区“高效办成一件事”服务内容，各地（州、市）至少推出</w:t>
      </w:r>
      <w:r>
        <w:rPr>
          <w:rFonts w:hint="default" w:ascii="Times New Roman" w:hAnsi="Times New Roman" w:eastAsia="仿宋" w:cs="Times New Roman"/>
          <w:i w:val="0"/>
          <w:iCs w:val="0"/>
          <w:caps w:val="0"/>
          <w:color w:val="000000"/>
          <w:spacing w:val="0"/>
          <w:sz w:val="32"/>
          <w:szCs w:val="32"/>
          <w:shd w:val="clear" w:fill="FFFFFF"/>
        </w:rPr>
        <w:t>1</w:t>
      </w:r>
      <w:r>
        <w:rPr>
          <w:rFonts w:hint="default" w:ascii="仿宋_GB2312" w:hAnsi="仿宋" w:eastAsia="仿宋_GB2312" w:cs="仿宋_GB2312"/>
          <w:i w:val="0"/>
          <w:iCs w:val="0"/>
          <w:caps w:val="0"/>
          <w:color w:val="000000"/>
          <w:spacing w:val="0"/>
          <w:sz w:val="32"/>
          <w:szCs w:val="32"/>
          <w:shd w:val="clear" w:fill="FFFFFF"/>
        </w:rPr>
        <w:t>个“一件事”。建设“高效办成一件事”专栏，推动各级相关政务服务系统与自治区一体化政务服务平台对接，强化跨部门政策、业务、系统协同和数据共享。拓展移动端、窗口端、自助端政务服务应用，支撑跨区域、跨部门、跨层级线上申办、自助申办。强化线上线下联动，开展并联审批、联合评审、联合验收等，大幅压减办理时长和办事成本。（</w:t>
      </w:r>
      <w:r>
        <w:rPr>
          <w:rFonts w:hint="eastAsia" w:ascii="楷体" w:hAnsi="楷体" w:eastAsia="楷体" w:cs="楷体"/>
          <w:i w:val="0"/>
          <w:iCs w:val="0"/>
          <w:caps w:val="0"/>
          <w:color w:val="000000"/>
          <w:spacing w:val="0"/>
          <w:sz w:val="32"/>
          <w:szCs w:val="32"/>
          <w:shd w:val="clear" w:fill="FFFFFF"/>
        </w:rPr>
        <w:t>责任单位：</w:t>
      </w:r>
      <w:r>
        <w:rPr>
          <w:rFonts w:hint="eastAsia" w:ascii="仿宋" w:hAnsi="仿宋" w:eastAsia="仿宋" w:cs="仿宋"/>
          <w:i w:val="0"/>
          <w:iCs w:val="0"/>
          <w:caps w:val="0"/>
          <w:color w:val="000000"/>
          <w:spacing w:val="0"/>
          <w:sz w:val="32"/>
          <w:szCs w:val="32"/>
          <w:shd w:val="clear" w:fill="FFFFFF"/>
        </w:rPr>
        <w:t>自治区数字化发展局，自治区各有关部门，各州、市人民政府，各行政公署 </w:t>
      </w:r>
      <w:r>
        <w:rPr>
          <w:rFonts w:hint="eastAsia" w:ascii="楷体" w:hAnsi="楷体" w:eastAsia="楷体" w:cs="楷体"/>
          <w:i w:val="0"/>
          <w:iCs w:val="0"/>
          <w:caps w:val="0"/>
          <w:color w:val="000000"/>
          <w:spacing w:val="0"/>
          <w:sz w:val="32"/>
          <w:szCs w:val="32"/>
          <w:shd w:val="clear" w:fill="FFFFFF"/>
        </w:rPr>
        <w:t> 完成时限：</w:t>
      </w:r>
      <w:r>
        <w:rPr>
          <w:rFonts w:hint="default" w:ascii="Times New Roman" w:hAnsi="Times New Roman" w:eastAsia="宋体" w:cs="Times New Roman"/>
          <w:i w:val="0"/>
          <w:iCs w:val="0"/>
          <w:caps w:val="0"/>
          <w:color w:val="000000"/>
          <w:spacing w:val="0"/>
          <w:sz w:val="32"/>
          <w:szCs w:val="32"/>
          <w:shd w:val="clear" w:fill="FFFFFF"/>
        </w:rPr>
        <w:t>2024</w:t>
      </w:r>
      <w:r>
        <w:rPr>
          <w:rFonts w:hint="eastAsia" w:ascii="仿宋" w:hAnsi="仿宋" w:eastAsia="仿宋" w:cs="仿宋"/>
          <w:i w:val="0"/>
          <w:iCs w:val="0"/>
          <w:caps w:val="0"/>
          <w:color w:val="000000"/>
          <w:spacing w:val="0"/>
          <w:sz w:val="32"/>
          <w:szCs w:val="32"/>
          <w:shd w:val="clear" w:fill="FFFFFF"/>
        </w:rPr>
        <w:t>年</w:t>
      </w:r>
      <w:r>
        <w:rPr>
          <w:rFonts w:hint="default" w:ascii="Times New Roman" w:hAnsi="Times New Roman" w:eastAsia="仿宋" w:cs="Times New Roman"/>
          <w:i w:val="0"/>
          <w:iCs w:val="0"/>
          <w:caps w:val="0"/>
          <w:color w:val="000000"/>
          <w:spacing w:val="0"/>
          <w:sz w:val="32"/>
          <w:szCs w:val="32"/>
          <w:shd w:val="clear" w:fill="FFFFFF"/>
        </w:rPr>
        <w:t>10</w:t>
      </w:r>
      <w:r>
        <w:rPr>
          <w:rFonts w:hint="eastAsia" w:ascii="仿宋" w:hAnsi="仿宋" w:eastAsia="仿宋" w:cs="仿宋"/>
          <w:i w:val="0"/>
          <w:iCs w:val="0"/>
          <w:caps w:val="0"/>
          <w:color w:val="000000"/>
          <w:spacing w:val="0"/>
          <w:sz w:val="32"/>
          <w:szCs w:val="32"/>
          <w:shd w:val="clear" w:fill="FFFFFF"/>
        </w:rPr>
        <w:t>月底前取得阶段性成效，持续推进</w:t>
      </w:r>
      <w:r>
        <w:rPr>
          <w:rFonts w:hint="default" w:ascii="Times New Roman" w:hAnsi="Times New Roman" w:eastAsia="方正楷体_GBK" w:cs="Times New Roman"/>
          <w:i w:val="0"/>
          <w:iCs w:val="0"/>
          <w:caps w:val="0"/>
          <w:color w:val="000000"/>
          <w:spacing w:val="0"/>
          <w:sz w:val="32"/>
          <w:szCs w:val="32"/>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both"/>
        <w:rPr>
          <w:rFonts w:hint="eastAsia" w:ascii="微软雅黑" w:hAnsi="微软雅黑" w:eastAsia="微软雅黑" w:cs="微软雅黑"/>
          <w:i w:val="0"/>
          <w:iCs w:val="0"/>
          <w:caps w:val="0"/>
          <w:color w:val="000000"/>
          <w:spacing w:val="0"/>
          <w:sz w:val="21"/>
          <w:szCs w:val="21"/>
        </w:rPr>
      </w:pPr>
      <w:r>
        <w:rPr>
          <w:rFonts w:hint="eastAsia" w:ascii="楷体" w:hAnsi="楷体" w:eastAsia="楷体" w:cs="楷体"/>
          <w:i w:val="0"/>
          <w:iCs w:val="0"/>
          <w:caps w:val="0"/>
          <w:color w:val="000000"/>
          <w:spacing w:val="0"/>
          <w:sz w:val="32"/>
          <w:szCs w:val="32"/>
          <w:shd w:val="clear" w:fill="FFFFFF"/>
        </w:rPr>
        <w:t>（五）推进容缺事项承诺办。</w:t>
      </w:r>
      <w:r>
        <w:rPr>
          <w:rFonts w:hint="eastAsia" w:ascii="仿宋" w:hAnsi="仿宋" w:eastAsia="仿宋" w:cs="仿宋"/>
          <w:i w:val="0"/>
          <w:iCs w:val="0"/>
          <w:caps w:val="0"/>
          <w:color w:val="000000"/>
          <w:spacing w:val="0"/>
          <w:sz w:val="32"/>
          <w:szCs w:val="32"/>
          <w:shd w:val="clear" w:fill="FFFFFF"/>
        </w:rPr>
        <w:t>推行“告知承诺+容缺办理”审批服务模式，各地各部门健全容缺受理服务机制，公布可容缺受理的政务服务事项清单，明确事项名称、主要申请材料和可容缺受理的材料。建立健全信用承诺制度，落实告知承诺清单管理，推行电子告知承诺书、告知承诺主动提醒、容缺材料后补或免交、信用信息条件预检、事中事后监管信息同步。推动承诺和履约信息共享至新疆信用信息共享交换平台，并在信用中国（新疆）网站公示，拓展信用报告更多场景化应用。（</w:t>
      </w:r>
      <w:r>
        <w:rPr>
          <w:rFonts w:hint="eastAsia" w:ascii="楷体" w:hAnsi="楷体" w:eastAsia="楷体" w:cs="楷体"/>
          <w:i w:val="0"/>
          <w:iCs w:val="0"/>
          <w:caps w:val="0"/>
          <w:color w:val="000000"/>
          <w:spacing w:val="0"/>
          <w:sz w:val="32"/>
          <w:szCs w:val="32"/>
          <w:shd w:val="clear" w:fill="FFFFFF"/>
        </w:rPr>
        <w:t>责任单位：</w:t>
      </w:r>
      <w:r>
        <w:rPr>
          <w:rFonts w:hint="eastAsia" w:ascii="仿宋" w:hAnsi="仿宋" w:eastAsia="仿宋" w:cs="仿宋"/>
          <w:i w:val="0"/>
          <w:iCs w:val="0"/>
          <w:caps w:val="0"/>
          <w:color w:val="000000"/>
          <w:spacing w:val="0"/>
          <w:sz w:val="32"/>
          <w:szCs w:val="32"/>
          <w:shd w:val="clear" w:fill="FFFFFF"/>
        </w:rPr>
        <w:t>自治区发展改革委、司法厅、数字化发展局，自治区各有关部门，各州、市人民政府，各行政公署   </w:t>
      </w:r>
      <w:r>
        <w:rPr>
          <w:rFonts w:hint="eastAsia" w:ascii="楷体" w:hAnsi="楷体" w:eastAsia="楷体" w:cs="楷体"/>
          <w:i w:val="0"/>
          <w:iCs w:val="0"/>
          <w:caps w:val="0"/>
          <w:color w:val="000000"/>
          <w:spacing w:val="0"/>
          <w:sz w:val="32"/>
          <w:szCs w:val="32"/>
          <w:shd w:val="clear" w:fill="FFFFFF"/>
        </w:rPr>
        <w:t>完成时限：</w:t>
      </w:r>
      <w:r>
        <w:rPr>
          <w:rFonts w:hint="default" w:ascii="Times New Roman" w:hAnsi="Times New Roman" w:eastAsia="微软雅黑" w:cs="Times New Roman"/>
          <w:i w:val="0"/>
          <w:iCs w:val="0"/>
          <w:caps w:val="0"/>
          <w:color w:val="000000"/>
          <w:spacing w:val="0"/>
          <w:sz w:val="32"/>
          <w:szCs w:val="32"/>
          <w:shd w:val="clear" w:fill="FFFFFF"/>
        </w:rPr>
        <w:t>2024</w:t>
      </w:r>
      <w:r>
        <w:rPr>
          <w:rFonts w:hint="eastAsia" w:ascii="仿宋" w:hAnsi="仿宋" w:eastAsia="仿宋" w:cs="仿宋"/>
          <w:i w:val="0"/>
          <w:iCs w:val="0"/>
          <w:caps w:val="0"/>
          <w:color w:val="000000"/>
          <w:spacing w:val="0"/>
          <w:sz w:val="32"/>
          <w:szCs w:val="32"/>
          <w:shd w:val="clear" w:fill="FFFFFF"/>
        </w:rPr>
        <w:t>年</w:t>
      </w:r>
      <w:r>
        <w:rPr>
          <w:rFonts w:hint="default" w:ascii="Times New Roman" w:hAnsi="Times New Roman" w:eastAsia="微软雅黑" w:cs="Times New Roman"/>
          <w:i w:val="0"/>
          <w:iCs w:val="0"/>
          <w:caps w:val="0"/>
          <w:color w:val="000000"/>
          <w:spacing w:val="0"/>
          <w:sz w:val="32"/>
          <w:szCs w:val="32"/>
          <w:shd w:val="clear" w:fill="FFFFFF"/>
        </w:rPr>
        <w:t>10</w:t>
      </w:r>
      <w:r>
        <w:rPr>
          <w:rFonts w:hint="eastAsia" w:ascii="仿宋" w:hAnsi="仿宋" w:eastAsia="仿宋" w:cs="仿宋"/>
          <w:i w:val="0"/>
          <w:iCs w:val="0"/>
          <w:caps w:val="0"/>
          <w:color w:val="000000"/>
          <w:spacing w:val="0"/>
          <w:sz w:val="32"/>
          <w:szCs w:val="32"/>
          <w:shd w:val="clear" w:fill="FFFFFF"/>
        </w:rPr>
        <w:t>月底前取得阶段性成效，持续推进)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both"/>
        <w:rPr>
          <w:rFonts w:hint="eastAsia" w:ascii="宋体" w:hAnsi="宋体" w:eastAsia="宋体" w:cs="宋体"/>
          <w:i w:val="0"/>
          <w:iCs w:val="0"/>
          <w:caps w:val="0"/>
          <w:color w:val="000000"/>
          <w:spacing w:val="0"/>
          <w:sz w:val="21"/>
          <w:szCs w:val="21"/>
        </w:rPr>
      </w:pPr>
      <w:r>
        <w:rPr>
          <w:rFonts w:hint="eastAsia" w:ascii="楷体" w:hAnsi="楷体" w:eastAsia="楷体" w:cs="楷体"/>
          <w:i w:val="0"/>
          <w:iCs w:val="0"/>
          <w:caps w:val="0"/>
          <w:color w:val="000000"/>
          <w:spacing w:val="0"/>
          <w:sz w:val="32"/>
          <w:szCs w:val="32"/>
          <w:shd w:val="clear" w:fill="FFFFFF"/>
        </w:rPr>
        <w:t>（六）推进异地事项跨域办。</w:t>
      </w:r>
      <w:r>
        <w:rPr>
          <w:rFonts w:hint="eastAsia" w:ascii="仿宋" w:hAnsi="仿宋" w:eastAsia="仿宋" w:cs="仿宋"/>
          <w:i w:val="0"/>
          <w:iCs w:val="0"/>
          <w:caps w:val="0"/>
          <w:color w:val="000000"/>
          <w:spacing w:val="0"/>
          <w:sz w:val="32"/>
          <w:szCs w:val="32"/>
          <w:shd w:val="clear" w:fill="FFFFFF"/>
        </w:rPr>
        <w:t>推动更多政务服务事项跨省通办、兵地通办、疆内通办，落实就近办、异地办。各级政务服务中心设立“跨省通办”代收代办窗口，建立收件、办理两地窗口协同联动工作机制，明确代收代办相关单位责任分工。探索试点推进“视频办”，结合实际梳理“视频办”事项服务清单，开设远程虚拟窗口，提供远程视频多语言帮办服务。(</w:t>
      </w:r>
      <w:r>
        <w:rPr>
          <w:rFonts w:hint="eastAsia" w:ascii="楷体" w:hAnsi="楷体" w:eastAsia="楷体" w:cs="楷体"/>
          <w:i w:val="0"/>
          <w:iCs w:val="0"/>
          <w:caps w:val="0"/>
          <w:color w:val="000000"/>
          <w:spacing w:val="0"/>
          <w:sz w:val="32"/>
          <w:szCs w:val="32"/>
          <w:shd w:val="clear" w:fill="FFFFFF"/>
        </w:rPr>
        <w:t>责任单位：</w:t>
      </w:r>
      <w:r>
        <w:rPr>
          <w:rFonts w:hint="eastAsia" w:ascii="仿宋" w:hAnsi="仿宋" w:eastAsia="仿宋" w:cs="仿宋"/>
          <w:i w:val="0"/>
          <w:iCs w:val="0"/>
          <w:caps w:val="0"/>
          <w:color w:val="000000"/>
          <w:spacing w:val="0"/>
          <w:sz w:val="32"/>
          <w:szCs w:val="32"/>
          <w:shd w:val="clear" w:fill="FFFFFF"/>
        </w:rPr>
        <w:t>自治区人民政府办公厅、数字化发展局，自治区各有关部门，各州、市人民政府，各行政公署</w:t>
      </w:r>
      <w:r>
        <w:rPr>
          <w:rFonts w:hint="eastAsia" w:ascii="方正楷体_GBK" w:hAnsi="方正楷体_GBK" w:eastAsia="方正楷体_GBK" w:cs="方正楷体_GBK"/>
          <w:i w:val="0"/>
          <w:iCs w:val="0"/>
          <w:caps w:val="0"/>
          <w:color w:val="000000"/>
          <w:spacing w:val="0"/>
          <w:sz w:val="32"/>
          <w:szCs w:val="32"/>
          <w:shd w:val="clear" w:fill="FFFFFF"/>
        </w:rPr>
        <w:t>   </w:t>
      </w:r>
      <w:r>
        <w:rPr>
          <w:rFonts w:hint="eastAsia" w:ascii="楷体" w:hAnsi="楷体" w:eastAsia="楷体" w:cs="楷体"/>
          <w:i w:val="0"/>
          <w:iCs w:val="0"/>
          <w:caps w:val="0"/>
          <w:color w:val="000000"/>
          <w:spacing w:val="0"/>
          <w:sz w:val="32"/>
          <w:szCs w:val="32"/>
          <w:shd w:val="clear" w:fill="FFFFFF"/>
        </w:rPr>
        <w:t>完成时限：</w:t>
      </w:r>
      <w:r>
        <w:rPr>
          <w:rFonts w:hint="default" w:ascii="Times New Roman" w:hAnsi="Times New Roman" w:eastAsia="宋体" w:cs="Times New Roman"/>
          <w:i w:val="0"/>
          <w:iCs w:val="0"/>
          <w:caps w:val="0"/>
          <w:color w:val="000000"/>
          <w:spacing w:val="0"/>
          <w:sz w:val="32"/>
          <w:szCs w:val="32"/>
          <w:shd w:val="clear" w:fill="FFFFFF"/>
        </w:rPr>
        <w:t>2024</w:t>
      </w:r>
      <w:r>
        <w:rPr>
          <w:rFonts w:hint="eastAsia" w:ascii="仿宋" w:hAnsi="仿宋" w:eastAsia="仿宋" w:cs="仿宋"/>
          <w:i w:val="0"/>
          <w:iCs w:val="0"/>
          <w:caps w:val="0"/>
          <w:color w:val="000000"/>
          <w:spacing w:val="0"/>
          <w:sz w:val="32"/>
          <w:szCs w:val="32"/>
          <w:shd w:val="clear" w:fill="FFFFFF"/>
        </w:rPr>
        <w:t>年</w:t>
      </w:r>
      <w:r>
        <w:rPr>
          <w:rFonts w:hint="default" w:ascii="Times New Roman" w:hAnsi="Times New Roman" w:eastAsia="宋体" w:cs="Times New Roman"/>
          <w:i w:val="0"/>
          <w:iCs w:val="0"/>
          <w:caps w:val="0"/>
          <w:color w:val="000000"/>
          <w:spacing w:val="0"/>
          <w:sz w:val="32"/>
          <w:szCs w:val="32"/>
          <w:shd w:val="clear" w:fill="FFFFFF"/>
        </w:rPr>
        <w:t>9</w:t>
      </w:r>
      <w:r>
        <w:rPr>
          <w:rFonts w:hint="eastAsia" w:ascii="仿宋" w:hAnsi="仿宋" w:eastAsia="仿宋" w:cs="仿宋"/>
          <w:i w:val="0"/>
          <w:iCs w:val="0"/>
          <w:caps w:val="0"/>
          <w:color w:val="000000"/>
          <w:spacing w:val="0"/>
          <w:sz w:val="32"/>
          <w:szCs w:val="32"/>
          <w:shd w:val="clear" w:fill="FFFFFF"/>
        </w:rPr>
        <w:t>月底前取得阶段性成效，持续推进)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both"/>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sz w:val="32"/>
          <w:szCs w:val="32"/>
          <w:shd w:val="clear" w:fill="FFFFFF"/>
        </w:rPr>
        <w:t>（七）推进政策服务免申办。建立惠企政策直达快享服务机制，支持各地各部门个性化政策自主实施，实现涉企“免申即享”，分批次发布“免申即享”事项清单，让符合条件的经营主体免申请直接享受政策红利。开通惠企政策专区，推动招商、人才、金融、惠农、税收、创业扶持、科技创新、文旅文创等各类政策全量归集。健全企业和个人专属服务空间，在政务服务网、“新服办、新企办”</w:t>
      </w:r>
      <w:r>
        <w:rPr>
          <w:rFonts w:hint="default" w:ascii="Times New Roman" w:hAnsi="Times New Roman" w:eastAsia="仿宋" w:cs="Times New Roman"/>
          <w:i w:val="0"/>
          <w:iCs w:val="0"/>
          <w:caps w:val="0"/>
          <w:color w:val="000000"/>
          <w:spacing w:val="0"/>
          <w:sz w:val="32"/>
          <w:szCs w:val="32"/>
          <w:shd w:val="clear" w:fill="FFFFFF"/>
        </w:rPr>
        <w:t>APP</w:t>
      </w:r>
      <w:r>
        <w:rPr>
          <w:rFonts w:hint="default" w:ascii="仿宋_GB2312" w:hAnsi="仿宋" w:eastAsia="仿宋_GB2312" w:cs="仿宋_GB2312"/>
          <w:i w:val="0"/>
          <w:iCs w:val="0"/>
          <w:caps w:val="0"/>
          <w:color w:val="000000"/>
          <w:spacing w:val="0"/>
          <w:sz w:val="32"/>
          <w:szCs w:val="32"/>
          <w:shd w:val="clear" w:fill="FFFFFF"/>
        </w:rPr>
        <w:t>等渠道中实现涉企政策统一发布、精准推送、一键直达。(</w:t>
      </w:r>
      <w:r>
        <w:rPr>
          <w:rFonts w:hint="eastAsia" w:ascii="楷体" w:hAnsi="楷体" w:eastAsia="楷体" w:cs="楷体"/>
          <w:i w:val="0"/>
          <w:iCs w:val="0"/>
          <w:caps w:val="0"/>
          <w:color w:val="000000"/>
          <w:spacing w:val="0"/>
          <w:sz w:val="32"/>
          <w:szCs w:val="32"/>
          <w:shd w:val="clear" w:fill="FFFFFF"/>
        </w:rPr>
        <w:t>责任单位：</w:t>
      </w:r>
      <w:r>
        <w:rPr>
          <w:rFonts w:hint="eastAsia" w:ascii="仿宋" w:hAnsi="仿宋" w:eastAsia="仿宋" w:cs="仿宋"/>
          <w:i w:val="0"/>
          <w:iCs w:val="0"/>
          <w:caps w:val="0"/>
          <w:color w:val="000000"/>
          <w:spacing w:val="0"/>
          <w:sz w:val="32"/>
          <w:szCs w:val="32"/>
          <w:shd w:val="clear" w:fill="FFFFFF"/>
        </w:rPr>
        <w:t>自治区发展改革委、工业和信息化厅、财政厅、市场监督管理局、人力资源和社会保障厅、商务厅、农业农村厅、科技厅、文化和旅游厅、数字化发展局、地方金融管理局，新疆通信管理局、新疆税务局，自治区各有关部门，各州、市人民政府，各行政公署</w:t>
      </w:r>
      <w:r>
        <w:rPr>
          <w:rFonts w:hint="eastAsia" w:ascii="方正楷体_GBK" w:hAnsi="方正楷体_GBK" w:eastAsia="方正楷体_GBK" w:cs="方正楷体_GBK"/>
          <w:i w:val="0"/>
          <w:iCs w:val="0"/>
          <w:caps w:val="0"/>
          <w:color w:val="000000"/>
          <w:spacing w:val="0"/>
          <w:sz w:val="32"/>
          <w:szCs w:val="32"/>
          <w:shd w:val="clear" w:fill="FFFFFF"/>
        </w:rPr>
        <w:t>   </w:t>
      </w:r>
      <w:r>
        <w:rPr>
          <w:rFonts w:hint="eastAsia" w:ascii="楷体" w:hAnsi="楷体" w:eastAsia="楷体" w:cs="楷体"/>
          <w:i w:val="0"/>
          <w:iCs w:val="0"/>
          <w:caps w:val="0"/>
          <w:color w:val="000000"/>
          <w:spacing w:val="0"/>
          <w:sz w:val="32"/>
          <w:szCs w:val="32"/>
          <w:shd w:val="clear" w:fill="FFFFFF"/>
        </w:rPr>
        <w:t>完成时限：</w:t>
      </w:r>
      <w:r>
        <w:rPr>
          <w:rFonts w:hint="default" w:ascii="Times New Roman" w:hAnsi="Times New Roman" w:eastAsia="宋体" w:cs="Times New Roman"/>
          <w:i w:val="0"/>
          <w:iCs w:val="0"/>
          <w:caps w:val="0"/>
          <w:color w:val="000000"/>
          <w:spacing w:val="0"/>
          <w:sz w:val="32"/>
          <w:szCs w:val="32"/>
          <w:shd w:val="clear" w:fill="FFFFFF"/>
        </w:rPr>
        <w:t>2024</w:t>
      </w:r>
      <w:r>
        <w:rPr>
          <w:rFonts w:hint="eastAsia" w:ascii="仿宋" w:hAnsi="仿宋" w:eastAsia="仿宋" w:cs="仿宋"/>
          <w:i w:val="0"/>
          <w:iCs w:val="0"/>
          <w:caps w:val="0"/>
          <w:color w:val="000000"/>
          <w:spacing w:val="0"/>
          <w:sz w:val="32"/>
          <w:szCs w:val="32"/>
          <w:shd w:val="clear" w:fill="FFFFFF"/>
        </w:rPr>
        <w:t>年</w:t>
      </w:r>
      <w:r>
        <w:rPr>
          <w:rFonts w:hint="default" w:ascii="Times New Roman" w:hAnsi="Times New Roman" w:eastAsia="宋体" w:cs="Times New Roman"/>
          <w:i w:val="0"/>
          <w:iCs w:val="0"/>
          <w:caps w:val="0"/>
          <w:color w:val="000000"/>
          <w:spacing w:val="0"/>
          <w:sz w:val="32"/>
          <w:szCs w:val="32"/>
          <w:shd w:val="clear" w:fill="FFFFFF"/>
        </w:rPr>
        <w:t>10</w:t>
      </w:r>
      <w:r>
        <w:rPr>
          <w:rFonts w:hint="eastAsia" w:ascii="仿宋" w:hAnsi="仿宋" w:eastAsia="仿宋" w:cs="仿宋"/>
          <w:i w:val="0"/>
          <w:iCs w:val="0"/>
          <w:caps w:val="0"/>
          <w:color w:val="000000"/>
          <w:spacing w:val="0"/>
          <w:sz w:val="32"/>
          <w:szCs w:val="32"/>
          <w:shd w:val="clear" w:fill="FFFFFF"/>
        </w:rPr>
        <w:t>月底前取得阶段性成效，持续推进)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both"/>
        <w:rPr>
          <w:rFonts w:hint="eastAsia" w:ascii="宋体" w:hAnsi="宋体" w:eastAsia="宋体" w:cs="宋体"/>
          <w:i w:val="0"/>
          <w:iCs w:val="0"/>
          <w:caps w:val="0"/>
          <w:color w:val="000000"/>
          <w:spacing w:val="0"/>
          <w:sz w:val="21"/>
          <w:szCs w:val="21"/>
        </w:rPr>
      </w:pPr>
      <w:r>
        <w:rPr>
          <w:rFonts w:hint="eastAsia" w:ascii="楷体" w:hAnsi="楷体" w:eastAsia="楷体" w:cs="楷体"/>
          <w:i w:val="0"/>
          <w:iCs w:val="0"/>
          <w:caps w:val="0"/>
          <w:color w:val="000000"/>
          <w:spacing w:val="0"/>
          <w:sz w:val="32"/>
          <w:szCs w:val="32"/>
          <w:shd w:val="clear" w:fill="FFFFFF"/>
        </w:rPr>
        <w:t>（八）推进高频服务好易办。</w:t>
      </w:r>
      <w:r>
        <w:rPr>
          <w:rFonts w:hint="eastAsia" w:ascii="仿宋" w:hAnsi="仿宋" w:eastAsia="仿宋" w:cs="仿宋"/>
          <w:i w:val="0"/>
          <w:iCs w:val="0"/>
          <w:caps w:val="0"/>
          <w:color w:val="000000"/>
          <w:spacing w:val="0"/>
          <w:sz w:val="32"/>
          <w:szCs w:val="32"/>
          <w:shd w:val="clear" w:fill="FFFFFF"/>
        </w:rPr>
        <w:t>建立“好易办”清单管理机制，统筹高频服务事项，为企业和群众提供智能化服务功能（导办、预检、预审、填表、预约），开展更多“智慧好办”服务事项试点示范。(</w:t>
      </w:r>
      <w:r>
        <w:rPr>
          <w:rFonts w:hint="eastAsia" w:ascii="楷体" w:hAnsi="楷体" w:eastAsia="楷体" w:cs="楷体"/>
          <w:i w:val="0"/>
          <w:iCs w:val="0"/>
          <w:caps w:val="0"/>
          <w:color w:val="000000"/>
          <w:spacing w:val="0"/>
          <w:sz w:val="32"/>
          <w:szCs w:val="32"/>
          <w:shd w:val="clear" w:fill="FFFFFF"/>
        </w:rPr>
        <w:t>责任单位：</w:t>
      </w:r>
      <w:r>
        <w:rPr>
          <w:rFonts w:hint="eastAsia" w:ascii="仿宋" w:hAnsi="仿宋" w:eastAsia="仿宋" w:cs="仿宋"/>
          <w:i w:val="0"/>
          <w:iCs w:val="0"/>
          <w:caps w:val="0"/>
          <w:color w:val="000000"/>
          <w:spacing w:val="0"/>
          <w:sz w:val="32"/>
          <w:szCs w:val="32"/>
          <w:shd w:val="clear" w:fill="FFFFFF"/>
        </w:rPr>
        <w:t>自治区数字化发展局，自治区各有关部门，各州、市人民政府，各行政公署  </w:t>
      </w:r>
      <w:r>
        <w:rPr>
          <w:rFonts w:hint="eastAsia" w:ascii="方正楷体_GBK" w:hAnsi="方正楷体_GBK" w:eastAsia="方正楷体_GBK" w:cs="方正楷体_GBK"/>
          <w:i w:val="0"/>
          <w:iCs w:val="0"/>
          <w:caps w:val="0"/>
          <w:color w:val="000000"/>
          <w:spacing w:val="0"/>
          <w:sz w:val="32"/>
          <w:szCs w:val="32"/>
          <w:shd w:val="clear" w:fill="FFFFFF"/>
        </w:rPr>
        <w:t> </w:t>
      </w:r>
      <w:r>
        <w:rPr>
          <w:rFonts w:hint="eastAsia" w:ascii="楷体" w:hAnsi="楷体" w:eastAsia="楷体" w:cs="楷体"/>
          <w:i w:val="0"/>
          <w:iCs w:val="0"/>
          <w:caps w:val="0"/>
          <w:color w:val="000000"/>
          <w:spacing w:val="0"/>
          <w:sz w:val="32"/>
          <w:szCs w:val="32"/>
          <w:shd w:val="clear" w:fill="FFFFFF"/>
        </w:rPr>
        <w:t>完成时限：</w:t>
      </w:r>
      <w:r>
        <w:rPr>
          <w:rFonts w:hint="default" w:ascii="Times New Roman" w:hAnsi="Times New Roman" w:eastAsia="宋体" w:cs="Times New Roman"/>
          <w:i w:val="0"/>
          <w:iCs w:val="0"/>
          <w:caps w:val="0"/>
          <w:color w:val="000000"/>
          <w:spacing w:val="0"/>
          <w:sz w:val="32"/>
          <w:szCs w:val="32"/>
          <w:shd w:val="clear" w:fill="FFFFFF"/>
        </w:rPr>
        <w:t>2024</w:t>
      </w:r>
      <w:r>
        <w:rPr>
          <w:rFonts w:hint="eastAsia" w:ascii="仿宋" w:hAnsi="仿宋" w:eastAsia="仿宋" w:cs="仿宋"/>
          <w:i w:val="0"/>
          <w:iCs w:val="0"/>
          <w:caps w:val="0"/>
          <w:color w:val="000000"/>
          <w:spacing w:val="0"/>
          <w:sz w:val="32"/>
          <w:szCs w:val="32"/>
          <w:shd w:val="clear" w:fill="FFFFFF"/>
        </w:rPr>
        <w:t>年</w:t>
      </w:r>
      <w:r>
        <w:rPr>
          <w:rFonts w:hint="default" w:ascii="Times New Roman" w:hAnsi="Times New Roman" w:eastAsia="宋体" w:cs="Times New Roman"/>
          <w:i w:val="0"/>
          <w:iCs w:val="0"/>
          <w:caps w:val="0"/>
          <w:color w:val="000000"/>
          <w:spacing w:val="0"/>
          <w:sz w:val="32"/>
          <w:szCs w:val="32"/>
          <w:shd w:val="clear" w:fill="FFFFFF"/>
        </w:rPr>
        <w:t>10</w:t>
      </w:r>
      <w:r>
        <w:rPr>
          <w:rFonts w:hint="eastAsia" w:ascii="仿宋" w:hAnsi="仿宋" w:eastAsia="仿宋" w:cs="仿宋"/>
          <w:i w:val="0"/>
          <w:iCs w:val="0"/>
          <w:caps w:val="0"/>
          <w:color w:val="000000"/>
          <w:spacing w:val="0"/>
          <w:sz w:val="32"/>
          <w:szCs w:val="32"/>
          <w:shd w:val="clear" w:fill="FFFFFF"/>
        </w:rPr>
        <w:t>月底前取得阶段性成效，持续推进)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both"/>
        <w:rPr>
          <w:rFonts w:hint="eastAsia"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sz w:val="32"/>
          <w:szCs w:val="32"/>
          <w:shd w:val="clear" w:fill="FFFFFF"/>
        </w:rPr>
        <w:t>（九）推进专题服务“一类事一站办”。聚焦产业特点、人群特征，将幼有所育、学有所教、行有所便、住有所居等一类主题涉及的全部政务服务事项业务办理，可享受的优惠政策，可获得的法律、人才、金融和科创服务纳入该类事“一站办”专栏。实现群众“一类事”一个页面集成办理、一个菜单自主选择、各类政策一次性获得。（后附</w:t>
      </w:r>
      <w:r>
        <w:rPr>
          <w:rFonts w:hint="default" w:ascii="Times New Roman" w:hAnsi="Times New Roman" w:eastAsia="微软雅黑" w:cs="Times New Roman"/>
          <w:i w:val="0"/>
          <w:iCs w:val="0"/>
          <w:caps w:val="0"/>
          <w:color w:val="000000"/>
          <w:spacing w:val="0"/>
          <w:sz w:val="32"/>
          <w:szCs w:val="32"/>
          <w:shd w:val="clear" w:fill="FFFFFF"/>
        </w:rPr>
        <w:t>2024</w:t>
      </w:r>
      <w:r>
        <w:rPr>
          <w:rFonts w:hint="eastAsia" w:ascii="仿宋" w:hAnsi="仿宋" w:eastAsia="仿宋" w:cs="仿宋"/>
          <w:i w:val="0"/>
          <w:iCs w:val="0"/>
          <w:caps w:val="0"/>
          <w:color w:val="000000"/>
          <w:spacing w:val="0"/>
          <w:sz w:val="32"/>
          <w:szCs w:val="32"/>
          <w:shd w:val="clear" w:fill="FFFFFF"/>
        </w:rPr>
        <w:t>年度</w:t>
      </w:r>
      <w:r>
        <w:rPr>
          <w:rFonts w:hint="default" w:ascii="Times New Roman" w:hAnsi="Times New Roman" w:eastAsia="微软雅黑" w:cs="Times New Roman"/>
          <w:i w:val="0"/>
          <w:iCs w:val="0"/>
          <w:caps w:val="0"/>
          <w:color w:val="000000"/>
          <w:spacing w:val="0"/>
          <w:sz w:val="32"/>
          <w:szCs w:val="32"/>
          <w:shd w:val="clear" w:fill="FFFFFF"/>
        </w:rPr>
        <w:t>20</w:t>
      </w:r>
      <w:r>
        <w:rPr>
          <w:rFonts w:hint="eastAsia" w:ascii="仿宋" w:hAnsi="仿宋" w:eastAsia="仿宋" w:cs="仿宋"/>
          <w:i w:val="0"/>
          <w:iCs w:val="0"/>
          <w:caps w:val="0"/>
          <w:color w:val="000000"/>
          <w:spacing w:val="0"/>
          <w:sz w:val="32"/>
          <w:szCs w:val="32"/>
          <w:shd w:val="clear" w:fill="FFFFFF"/>
        </w:rPr>
        <w:t>项“一类事一站办”专题清单）(</w:t>
      </w:r>
      <w:r>
        <w:rPr>
          <w:rFonts w:hint="eastAsia" w:ascii="楷体" w:hAnsi="楷体" w:eastAsia="楷体" w:cs="楷体"/>
          <w:i w:val="0"/>
          <w:iCs w:val="0"/>
          <w:caps w:val="0"/>
          <w:color w:val="000000"/>
          <w:spacing w:val="0"/>
          <w:sz w:val="32"/>
          <w:szCs w:val="32"/>
          <w:shd w:val="clear" w:fill="FFFFFF"/>
        </w:rPr>
        <w:t>责任单位：</w:t>
      </w:r>
      <w:r>
        <w:rPr>
          <w:rFonts w:hint="eastAsia" w:ascii="仿宋" w:hAnsi="仿宋" w:eastAsia="仿宋" w:cs="仿宋"/>
          <w:i w:val="0"/>
          <w:iCs w:val="0"/>
          <w:caps w:val="0"/>
          <w:color w:val="000000"/>
          <w:spacing w:val="0"/>
          <w:sz w:val="32"/>
          <w:szCs w:val="32"/>
          <w:shd w:val="clear" w:fill="FFFFFF"/>
        </w:rPr>
        <w:t>自治区各有关部门，各州、市人民政府，各行政公署</w:t>
      </w:r>
      <w:r>
        <w:rPr>
          <w:rFonts w:hint="eastAsia" w:ascii="方正楷体_GBK" w:hAnsi="方正楷体_GBK" w:eastAsia="方正楷体_GBK" w:cs="方正楷体_GBK"/>
          <w:i w:val="0"/>
          <w:iCs w:val="0"/>
          <w:caps w:val="0"/>
          <w:color w:val="000000"/>
          <w:spacing w:val="0"/>
          <w:sz w:val="32"/>
          <w:szCs w:val="32"/>
          <w:shd w:val="clear" w:fill="FFFFFF"/>
        </w:rPr>
        <w:t>   </w:t>
      </w:r>
      <w:r>
        <w:rPr>
          <w:rFonts w:hint="eastAsia" w:ascii="楷体" w:hAnsi="楷体" w:eastAsia="楷体" w:cs="楷体"/>
          <w:i w:val="0"/>
          <w:iCs w:val="0"/>
          <w:caps w:val="0"/>
          <w:color w:val="000000"/>
          <w:spacing w:val="0"/>
          <w:sz w:val="32"/>
          <w:szCs w:val="32"/>
          <w:shd w:val="clear" w:fill="FFFFFF"/>
        </w:rPr>
        <w:t>完成时限：</w:t>
      </w:r>
      <w:r>
        <w:rPr>
          <w:rFonts w:hint="default" w:ascii="Times New Roman" w:hAnsi="Times New Roman" w:eastAsia="宋体" w:cs="Times New Roman"/>
          <w:i w:val="0"/>
          <w:iCs w:val="0"/>
          <w:caps w:val="0"/>
          <w:color w:val="000000"/>
          <w:spacing w:val="0"/>
          <w:sz w:val="32"/>
          <w:szCs w:val="32"/>
          <w:shd w:val="clear" w:fill="FFFFFF"/>
        </w:rPr>
        <w:t>2024</w:t>
      </w:r>
      <w:r>
        <w:rPr>
          <w:rFonts w:hint="eastAsia" w:ascii="仿宋" w:hAnsi="仿宋" w:eastAsia="仿宋" w:cs="仿宋"/>
          <w:i w:val="0"/>
          <w:iCs w:val="0"/>
          <w:caps w:val="0"/>
          <w:color w:val="000000"/>
          <w:spacing w:val="0"/>
          <w:sz w:val="32"/>
          <w:szCs w:val="32"/>
          <w:shd w:val="clear" w:fill="FFFFFF"/>
        </w:rPr>
        <w:t>年</w:t>
      </w:r>
      <w:r>
        <w:rPr>
          <w:rFonts w:hint="default" w:ascii="Times New Roman" w:hAnsi="Times New Roman" w:eastAsia="宋体" w:cs="Times New Roman"/>
          <w:i w:val="0"/>
          <w:iCs w:val="0"/>
          <w:caps w:val="0"/>
          <w:color w:val="000000"/>
          <w:spacing w:val="0"/>
          <w:sz w:val="32"/>
          <w:szCs w:val="32"/>
          <w:shd w:val="clear" w:fill="FFFFFF"/>
        </w:rPr>
        <w:t>10</w:t>
      </w:r>
      <w:r>
        <w:rPr>
          <w:rFonts w:hint="eastAsia" w:ascii="仿宋" w:hAnsi="仿宋" w:eastAsia="仿宋" w:cs="仿宋"/>
          <w:i w:val="0"/>
          <w:iCs w:val="0"/>
          <w:caps w:val="0"/>
          <w:color w:val="000000"/>
          <w:spacing w:val="0"/>
          <w:sz w:val="32"/>
          <w:szCs w:val="32"/>
          <w:shd w:val="clear" w:fill="FFFFFF"/>
        </w:rPr>
        <w:t>月底前取得阶段性成效，持续推进)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both"/>
        <w:rPr>
          <w:rFonts w:hint="eastAsia" w:ascii="宋体" w:hAnsi="宋体" w:eastAsia="宋体" w:cs="宋体"/>
          <w:i w:val="0"/>
          <w:iCs w:val="0"/>
          <w:caps w:val="0"/>
          <w:color w:val="000000"/>
          <w:spacing w:val="0"/>
          <w:sz w:val="21"/>
          <w:szCs w:val="21"/>
        </w:rPr>
      </w:pPr>
      <w:r>
        <w:rPr>
          <w:rFonts w:hint="eastAsia" w:ascii="楷体" w:hAnsi="楷体" w:eastAsia="楷体" w:cs="楷体"/>
          <w:i w:val="0"/>
          <w:iCs w:val="0"/>
          <w:caps w:val="0"/>
          <w:color w:val="000000"/>
          <w:spacing w:val="0"/>
          <w:sz w:val="32"/>
          <w:szCs w:val="32"/>
          <w:shd w:val="clear" w:fill="FFFFFF"/>
        </w:rPr>
        <w:t>（十）提升智能支撑服务能力。</w:t>
      </w:r>
      <w:r>
        <w:rPr>
          <w:rFonts w:hint="eastAsia" w:ascii="仿宋" w:hAnsi="仿宋" w:eastAsia="仿宋" w:cs="仿宋"/>
          <w:i w:val="0"/>
          <w:iCs w:val="0"/>
          <w:caps w:val="0"/>
          <w:color w:val="000000"/>
          <w:spacing w:val="0"/>
          <w:sz w:val="32"/>
          <w:szCs w:val="32"/>
          <w:shd w:val="clear" w:fill="FFFFFF"/>
        </w:rPr>
        <w:t>建设一体化智能业务中枢，整合文字识别、机器学习、智能语音、自然语言处理模型等数字技术，打造智能化预检、预审、填表、免交、问答、推荐等最小化颗粒度数据模型能力，赋能线上线下、多端多渠道同源实现“智办、好办”。(</w:t>
      </w:r>
      <w:r>
        <w:rPr>
          <w:rFonts w:hint="eastAsia" w:ascii="楷体" w:hAnsi="楷体" w:eastAsia="楷体" w:cs="楷体"/>
          <w:i w:val="0"/>
          <w:iCs w:val="0"/>
          <w:caps w:val="0"/>
          <w:color w:val="000000"/>
          <w:spacing w:val="0"/>
          <w:sz w:val="32"/>
          <w:szCs w:val="32"/>
          <w:shd w:val="clear" w:fill="FFFFFF"/>
        </w:rPr>
        <w:t>责任单位：</w:t>
      </w:r>
      <w:r>
        <w:rPr>
          <w:rFonts w:hint="eastAsia" w:ascii="仿宋" w:hAnsi="仿宋" w:eastAsia="仿宋" w:cs="仿宋"/>
          <w:i w:val="0"/>
          <w:iCs w:val="0"/>
          <w:caps w:val="0"/>
          <w:color w:val="000000"/>
          <w:spacing w:val="0"/>
          <w:sz w:val="32"/>
          <w:szCs w:val="32"/>
          <w:shd w:val="clear" w:fill="FFFFFF"/>
        </w:rPr>
        <w:t>自治区数字化发展局，自治区各有关部门，各州、市人民政府，各行政公署</w:t>
      </w:r>
      <w:r>
        <w:rPr>
          <w:rFonts w:hint="eastAsia" w:ascii="方正楷体_GBK" w:hAnsi="方正楷体_GBK" w:eastAsia="方正楷体_GBK" w:cs="方正楷体_GBK"/>
          <w:i w:val="0"/>
          <w:iCs w:val="0"/>
          <w:caps w:val="0"/>
          <w:color w:val="000000"/>
          <w:spacing w:val="0"/>
          <w:sz w:val="32"/>
          <w:szCs w:val="32"/>
          <w:shd w:val="clear" w:fill="FFFFFF"/>
        </w:rPr>
        <w:t>   </w:t>
      </w:r>
      <w:r>
        <w:rPr>
          <w:rFonts w:hint="eastAsia" w:ascii="楷体" w:hAnsi="楷体" w:eastAsia="楷体" w:cs="楷体"/>
          <w:i w:val="0"/>
          <w:iCs w:val="0"/>
          <w:caps w:val="0"/>
          <w:color w:val="000000"/>
          <w:spacing w:val="0"/>
          <w:sz w:val="32"/>
          <w:szCs w:val="32"/>
          <w:shd w:val="clear" w:fill="FFFFFF"/>
        </w:rPr>
        <w:t>完成时限：</w:t>
      </w:r>
      <w:r>
        <w:rPr>
          <w:rFonts w:hint="eastAsia" w:ascii="仿宋" w:hAnsi="仿宋" w:eastAsia="仿宋" w:cs="仿宋"/>
          <w:i w:val="0"/>
          <w:iCs w:val="0"/>
          <w:caps w:val="0"/>
          <w:color w:val="000000"/>
          <w:spacing w:val="0"/>
          <w:sz w:val="32"/>
          <w:szCs w:val="32"/>
          <w:shd w:val="clear" w:fill="FFFFFF"/>
        </w:rPr>
        <w:t>持续推进)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both"/>
        <w:rPr>
          <w:rFonts w:hint="eastAsia" w:ascii="宋体" w:hAnsi="宋体" w:eastAsia="宋体" w:cs="宋体"/>
          <w:i w:val="0"/>
          <w:iCs w:val="0"/>
          <w:caps w:val="0"/>
          <w:color w:val="000000"/>
          <w:spacing w:val="0"/>
          <w:sz w:val="21"/>
          <w:szCs w:val="21"/>
        </w:rPr>
      </w:pPr>
      <w:r>
        <w:rPr>
          <w:rFonts w:hint="eastAsia" w:ascii="楷体" w:hAnsi="楷体" w:eastAsia="楷体" w:cs="楷体"/>
          <w:i w:val="0"/>
          <w:iCs w:val="0"/>
          <w:caps w:val="0"/>
          <w:color w:val="000000"/>
          <w:spacing w:val="0"/>
          <w:sz w:val="32"/>
          <w:szCs w:val="32"/>
          <w:shd w:val="clear" w:fill="FFFFFF"/>
        </w:rPr>
        <w:t>（十一）打造企业和个人专属空间。</w:t>
      </w:r>
      <w:r>
        <w:rPr>
          <w:rFonts w:hint="eastAsia" w:ascii="仿宋" w:hAnsi="仿宋" w:eastAsia="仿宋" w:cs="仿宋"/>
          <w:i w:val="0"/>
          <w:iCs w:val="0"/>
          <w:caps w:val="0"/>
          <w:color w:val="000000"/>
          <w:spacing w:val="0"/>
          <w:sz w:val="32"/>
          <w:szCs w:val="32"/>
          <w:shd w:val="clear" w:fill="FFFFFF"/>
        </w:rPr>
        <w:t>按照区地两级架构，建设全区统一的个人和企业专属服务空间，按照“一人一档”“一企一档”模式，实现重点人群、企业、行业个性化档案全覆盖，打造消息中心、精准推荐、授权代办、用户画像库、用户行为库、用户档案库等能力，为个人和企业提供个性化、精准化、主动化、智能化服务。(</w:t>
      </w:r>
      <w:r>
        <w:rPr>
          <w:rFonts w:hint="eastAsia" w:ascii="楷体" w:hAnsi="楷体" w:eastAsia="楷体" w:cs="楷体"/>
          <w:i w:val="0"/>
          <w:iCs w:val="0"/>
          <w:caps w:val="0"/>
          <w:color w:val="000000"/>
          <w:spacing w:val="0"/>
          <w:sz w:val="32"/>
          <w:szCs w:val="32"/>
          <w:shd w:val="clear" w:fill="FFFFFF"/>
        </w:rPr>
        <w:t>责任单位：</w:t>
      </w:r>
      <w:r>
        <w:rPr>
          <w:rFonts w:hint="eastAsia" w:ascii="仿宋" w:hAnsi="仿宋" w:eastAsia="仿宋" w:cs="仿宋"/>
          <w:i w:val="0"/>
          <w:iCs w:val="0"/>
          <w:caps w:val="0"/>
          <w:color w:val="000000"/>
          <w:spacing w:val="0"/>
          <w:sz w:val="32"/>
          <w:szCs w:val="32"/>
          <w:shd w:val="clear" w:fill="FFFFFF"/>
        </w:rPr>
        <w:t>自治区数字化发展局，自治区各有关部门，各州、市人民政府，各行政公署</w:t>
      </w:r>
      <w:r>
        <w:rPr>
          <w:rFonts w:hint="eastAsia" w:ascii="楷体" w:hAnsi="楷体" w:eastAsia="楷体" w:cs="楷体"/>
          <w:i w:val="0"/>
          <w:iCs w:val="0"/>
          <w:caps w:val="0"/>
          <w:color w:val="000000"/>
          <w:spacing w:val="0"/>
          <w:sz w:val="32"/>
          <w:szCs w:val="32"/>
          <w:shd w:val="clear" w:fill="FFFFFF"/>
        </w:rPr>
        <w:t> 完成时限：</w:t>
      </w:r>
      <w:r>
        <w:rPr>
          <w:rFonts w:hint="eastAsia" w:ascii="仿宋" w:hAnsi="仿宋" w:eastAsia="仿宋" w:cs="仿宋"/>
          <w:i w:val="0"/>
          <w:iCs w:val="0"/>
          <w:caps w:val="0"/>
          <w:color w:val="000000"/>
          <w:spacing w:val="0"/>
          <w:sz w:val="32"/>
          <w:szCs w:val="32"/>
          <w:shd w:val="clear" w:fill="FFFFFF"/>
        </w:rPr>
        <w:t>持续推进)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both"/>
        <w:rPr>
          <w:rFonts w:hint="eastAsia" w:ascii="宋体" w:hAnsi="宋体" w:eastAsia="宋体" w:cs="宋体"/>
          <w:i w:val="0"/>
          <w:iCs w:val="0"/>
          <w:caps w:val="0"/>
          <w:color w:val="000000"/>
          <w:spacing w:val="0"/>
          <w:sz w:val="21"/>
          <w:szCs w:val="21"/>
        </w:rPr>
      </w:pPr>
      <w:r>
        <w:rPr>
          <w:rFonts w:hint="eastAsia" w:ascii="楷体" w:hAnsi="楷体" w:eastAsia="楷体" w:cs="楷体"/>
          <w:i w:val="0"/>
          <w:iCs w:val="0"/>
          <w:caps w:val="0"/>
          <w:color w:val="000000"/>
          <w:spacing w:val="0"/>
          <w:sz w:val="32"/>
          <w:szCs w:val="32"/>
          <w:shd w:val="clear" w:fill="FFFFFF"/>
        </w:rPr>
        <w:t>（十二）提升智能客服质量和效能。</w:t>
      </w:r>
      <w:r>
        <w:rPr>
          <w:rFonts w:hint="eastAsia" w:ascii="仿宋" w:hAnsi="仿宋" w:eastAsia="仿宋" w:cs="仿宋"/>
          <w:i w:val="0"/>
          <w:iCs w:val="0"/>
          <w:caps w:val="0"/>
          <w:color w:val="000000"/>
          <w:spacing w:val="0"/>
          <w:sz w:val="32"/>
          <w:szCs w:val="32"/>
          <w:shd w:val="clear" w:fill="FFFFFF"/>
        </w:rPr>
        <w:t>建设智能客服和政务知识库，建立全区统一的政务服务知识库运行管理体系，依托一体化智能业务中枢，加强多轮会话人机对话以及大语言模型等技术应用，与</w:t>
      </w:r>
      <w:r>
        <w:rPr>
          <w:rFonts w:hint="default" w:ascii="Times New Roman" w:hAnsi="Times New Roman" w:eastAsia="宋体" w:cs="Times New Roman"/>
          <w:i w:val="0"/>
          <w:iCs w:val="0"/>
          <w:caps w:val="0"/>
          <w:color w:val="000000"/>
          <w:spacing w:val="0"/>
          <w:sz w:val="32"/>
          <w:szCs w:val="32"/>
          <w:shd w:val="clear" w:fill="FFFFFF"/>
        </w:rPr>
        <w:t>12345</w:t>
      </w:r>
      <w:r>
        <w:rPr>
          <w:rFonts w:hint="default" w:ascii="仿宋_GB2312" w:hAnsi="仿宋" w:eastAsia="仿宋_GB2312" w:cs="仿宋_GB2312"/>
          <w:i w:val="0"/>
          <w:iCs w:val="0"/>
          <w:caps w:val="0"/>
          <w:color w:val="000000"/>
          <w:spacing w:val="0"/>
          <w:sz w:val="32"/>
          <w:szCs w:val="32"/>
          <w:shd w:val="clear" w:fill="FFFFFF"/>
        </w:rPr>
        <w:t>热线和社情民意、投诉建议全渠道知识库有效联动，支撑</w:t>
      </w:r>
      <w:r>
        <w:rPr>
          <w:rFonts w:hint="default" w:ascii="Times New Roman" w:hAnsi="Times New Roman" w:eastAsia="仿宋" w:cs="Times New Roman"/>
          <w:i w:val="0"/>
          <w:iCs w:val="0"/>
          <w:caps w:val="0"/>
          <w:color w:val="000000"/>
          <w:spacing w:val="0"/>
          <w:sz w:val="32"/>
          <w:szCs w:val="32"/>
          <w:shd w:val="clear" w:fill="FFFFFF"/>
        </w:rPr>
        <w:t>12345</w:t>
      </w:r>
      <w:r>
        <w:rPr>
          <w:rFonts w:hint="default" w:ascii="仿宋_GB2312" w:hAnsi="仿宋" w:eastAsia="仿宋_GB2312" w:cs="仿宋_GB2312"/>
          <w:i w:val="0"/>
          <w:iCs w:val="0"/>
          <w:caps w:val="0"/>
          <w:color w:val="000000"/>
          <w:spacing w:val="0"/>
          <w:sz w:val="32"/>
          <w:szCs w:val="32"/>
          <w:shd w:val="clear" w:fill="FFFFFF"/>
        </w:rPr>
        <w:t>热线和智能客服，提升智能客服精准问答能力，实现语音唤起、预约、办事和问答式引导。</w:t>
      </w:r>
      <w:r>
        <w:rPr>
          <w:rFonts w:hint="eastAsia" w:ascii="仿宋" w:hAnsi="仿宋" w:eastAsia="仿宋" w:cs="仿宋"/>
          <w:i w:val="0"/>
          <w:iCs w:val="0"/>
          <w:caps w:val="0"/>
          <w:color w:val="000000"/>
          <w:spacing w:val="0"/>
          <w:sz w:val="32"/>
          <w:szCs w:val="32"/>
          <w:shd w:val="clear" w:fill="FFFFFF"/>
        </w:rPr>
        <w:t>(</w:t>
      </w:r>
      <w:r>
        <w:rPr>
          <w:rFonts w:hint="eastAsia" w:ascii="楷体" w:hAnsi="楷体" w:eastAsia="楷体" w:cs="楷体"/>
          <w:i w:val="0"/>
          <w:iCs w:val="0"/>
          <w:caps w:val="0"/>
          <w:color w:val="000000"/>
          <w:spacing w:val="0"/>
          <w:sz w:val="32"/>
          <w:szCs w:val="32"/>
          <w:shd w:val="clear" w:fill="FFFFFF"/>
        </w:rPr>
        <w:t>责任单位：</w:t>
      </w:r>
      <w:r>
        <w:rPr>
          <w:rFonts w:hint="eastAsia" w:ascii="仿宋" w:hAnsi="仿宋" w:eastAsia="仿宋" w:cs="仿宋"/>
          <w:i w:val="0"/>
          <w:iCs w:val="0"/>
          <w:caps w:val="0"/>
          <w:color w:val="000000"/>
          <w:spacing w:val="0"/>
          <w:sz w:val="32"/>
          <w:szCs w:val="32"/>
          <w:shd w:val="clear" w:fill="FFFFFF"/>
        </w:rPr>
        <w:t>自治区数字化发展局，自治区各有关部门，各州、市人民政府，各行政公署</w:t>
      </w:r>
      <w:r>
        <w:rPr>
          <w:rFonts w:hint="eastAsia" w:ascii="方正楷体_GBK" w:hAnsi="方正楷体_GBK" w:eastAsia="方正楷体_GBK" w:cs="方正楷体_GBK"/>
          <w:i w:val="0"/>
          <w:iCs w:val="0"/>
          <w:caps w:val="0"/>
          <w:color w:val="000000"/>
          <w:spacing w:val="0"/>
          <w:sz w:val="32"/>
          <w:szCs w:val="32"/>
          <w:shd w:val="clear" w:fill="FFFFFF"/>
        </w:rPr>
        <w:t>   </w:t>
      </w:r>
      <w:r>
        <w:rPr>
          <w:rFonts w:hint="eastAsia" w:ascii="楷体" w:hAnsi="楷体" w:eastAsia="楷体" w:cs="楷体"/>
          <w:i w:val="0"/>
          <w:iCs w:val="0"/>
          <w:caps w:val="0"/>
          <w:color w:val="000000"/>
          <w:spacing w:val="0"/>
          <w:sz w:val="32"/>
          <w:szCs w:val="32"/>
          <w:shd w:val="clear" w:fill="FFFFFF"/>
        </w:rPr>
        <w:t>完成时限：</w:t>
      </w:r>
      <w:r>
        <w:rPr>
          <w:rFonts w:hint="eastAsia" w:ascii="仿宋" w:hAnsi="仿宋" w:eastAsia="仿宋" w:cs="仿宋"/>
          <w:i w:val="0"/>
          <w:iCs w:val="0"/>
          <w:caps w:val="0"/>
          <w:color w:val="000000"/>
          <w:spacing w:val="0"/>
          <w:sz w:val="32"/>
          <w:szCs w:val="32"/>
          <w:shd w:val="clear" w:fill="FFFFFF"/>
        </w:rPr>
        <w:t>持续推进)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both"/>
        <w:rPr>
          <w:rFonts w:hint="eastAsia" w:ascii="宋体" w:hAnsi="宋体" w:eastAsia="宋体" w:cs="宋体"/>
          <w:i w:val="0"/>
          <w:iCs w:val="0"/>
          <w:caps w:val="0"/>
          <w:color w:val="000000"/>
          <w:spacing w:val="0"/>
          <w:sz w:val="21"/>
          <w:szCs w:val="21"/>
        </w:rPr>
      </w:pPr>
      <w:r>
        <w:rPr>
          <w:rFonts w:hint="eastAsia" w:ascii="楷体" w:hAnsi="楷体" w:eastAsia="楷体" w:cs="楷体"/>
          <w:i w:val="0"/>
          <w:iCs w:val="0"/>
          <w:caps w:val="0"/>
          <w:color w:val="000000"/>
          <w:spacing w:val="0"/>
          <w:sz w:val="32"/>
          <w:szCs w:val="32"/>
          <w:shd w:val="clear" w:fill="FFFFFF"/>
        </w:rPr>
        <w:t>（十三）推进办事材料高效复用。</w:t>
      </w:r>
      <w:r>
        <w:rPr>
          <w:rFonts w:hint="eastAsia" w:ascii="仿宋" w:hAnsi="仿宋" w:eastAsia="仿宋" w:cs="仿宋"/>
          <w:i w:val="0"/>
          <w:iCs w:val="0"/>
          <w:caps w:val="0"/>
          <w:color w:val="000000"/>
          <w:spacing w:val="0"/>
          <w:sz w:val="32"/>
          <w:szCs w:val="32"/>
          <w:shd w:val="clear" w:fill="FFFFFF"/>
        </w:rPr>
        <w:t>开展历史办件材料治理共享，建立电子材料库，依托办件库的历史办事材料，开展纸质材料电子化、文件名称标准化、材料有效期治理，统一纳入电子材料库，实现企业及个人办事自动复用、免填免交。(</w:t>
      </w:r>
      <w:r>
        <w:rPr>
          <w:rFonts w:hint="eastAsia" w:ascii="楷体" w:hAnsi="楷体" w:eastAsia="楷体" w:cs="楷体"/>
          <w:i w:val="0"/>
          <w:iCs w:val="0"/>
          <w:caps w:val="0"/>
          <w:color w:val="000000"/>
          <w:spacing w:val="0"/>
          <w:sz w:val="32"/>
          <w:szCs w:val="32"/>
          <w:shd w:val="clear" w:fill="FFFFFF"/>
        </w:rPr>
        <w:t>责任单位：</w:t>
      </w:r>
      <w:r>
        <w:rPr>
          <w:rFonts w:hint="eastAsia" w:ascii="仿宋" w:hAnsi="仿宋" w:eastAsia="仿宋" w:cs="仿宋"/>
          <w:i w:val="0"/>
          <w:iCs w:val="0"/>
          <w:caps w:val="0"/>
          <w:color w:val="000000"/>
          <w:spacing w:val="0"/>
          <w:sz w:val="32"/>
          <w:szCs w:val="32"/>
          <w:shd w:val="clear" w:fill="FFFFFF"/>
        </w:rPr>
        <w:t>自治区数字化发展局，自治区各有关部门，各州、市人民政府，各行政公署</w:t>
      </w:r>
      <w:r>
        <w:rPr>
          <w:rFonts w:hint="eastAsia" w:ascii="方正楷体_GBK" w:hAnsi="方正楷体_GBK" w:eastAsia="方正楷体_GBK" w:cs="方正楷体_GBK"/>
          <w:i w:val="0"/>
          <w:iCs w:val="0"/>
          <w:caps w:val="0"/>
          <w:color w:val="000000"/>
          <w:spacing w:val="0"/>
          <w:sz w:val="32"/>
          <w:szCs w:val="32"/>
          <w:shd w:val="clear" w:fill="FFFFFF"/>
        </w:rPr>
        <w:t>   </w:t>
      </w:r>
      <w:r>
        <w:rPr>
          <w:rFonts w:hint="eastAsia" w:ascii="楷体" w:hAnsi="楷体" w:eastAsia="楷体" w:cs="楷体"/>
          <w:i w:val="0"/>
          <w:iCs w:val="0"/>
          <w:caps w:val="0"/>
          <w:color w:val="000000"/>
          <w:spacing w:val="0"/>
          <w:sz w:val="32"/>
          <w:szCs w:val="32"/>
          <w:shd w:val="clear" w:fill="FFFFFF"/>
        </w:rPr>
        <w:t>完成时限：</w:t>
      </w:r>
      <w:r>
        <w:rPr>
          <w:rFonts w:hint="eastAsia" w:ascii="仿宋" w:hAnsi="仿宋" w:eastAsia="仿宋" w:cs="仿宋"/>
          <w:i w:val="0"/>
          <w:iCs w:val="0"/>
          <w:caps w:val="0"/>
          <w:color w:val="000000"/>
          <w:spacing w:val="0"/>
          <w:sz w:val="32"/>
          <w:szCs w:val="32"/>
          <w:shd w:val="clear" w:fill="FFFFFF"/>
        </w:rPr>
        <w:t>持续推进)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both"/>
        <w:rPr>
          <w:rFonts w:hint="eastAsia" w:ascii="宋体" w:hAnsi="宋体" w:eastAsia="宋体" w:cs="宋体"/>
          <w:i w:val="0"/>
          <w:iCs w:val="0"/>
          <w:caps w:val="0"/>
          <w:color w:val="000000"/>
          <w:spacing w:val="0"/>
          <w:sz w:val="21"/>
          <w:szCs w:val="21"/>
        </w:rPr>
      </w:pPr>
      <w:r>
        <w:rPr>
          <w:rFonts w:hint="eastAsia" w:ascii="楷体" w:hAnsi="楷体" w:eastAsia="楷体" w:cs="楷体"/>
          <w:i w:val="0"/>
          <w:iCs w:val="0"/>
          <w:caps w:val="0"/>
          <w:color w:val="000000"/>
          <w:spacing w:val="0"/>
          <w:sz w:val="32"/>
          <w:szCs w:val="32"/>
          <w:shd w:val="clear" w:fill="FFFFFF"/>
        </w:rPr>
        <w:t>（十四）提升政务数据共享实效。</w:t>
      </w:r>
      <w:r>
        <w:rPr>
          <w:rFonts w:hint="eastAsia" w:ascii="仿宋" w:hAnsi="仿宋" w:eastAsia="仿宋" w:cs="仿宋"/>
          <w:i w:val="0"/>
          <w:iCs w:val="0"/>
          <w:caps w:val="0"/>
          <w:color w:val="000000"/>
          <w:spacing w:val="0"/>
          <w:sz w:val="32"/>
          <w:szCs w:val="32"/>
          <w:shd w:val="clear" w:fill="FFFFFF"/>
        </w:rPr>
        <w:t>依托自治区一体化数据资源体系相关平台，建设自治区数据直达系统和数据直达专区，打通国家和自治区平台的业务流数据流，支撑自治区、各地（州、市）、各县（市、区）相关部门政务数据共享。各地（州、市）运营本级数据直达专区，加强数据应用推广。编制</w:t>
      </w:r>
      <w:r>
        <w:rPr>
          <w:rFonts w:hint="eastAsia" w:ascii="宋体" w:hAnsi="宋体" w:eastAsia="宋体" w:cs="宋体"/>
          <w:i w:val="0"/>
          <w:iCs w:val="0"/>
          <w:caps w:val="0"/>
          <w:color w:val="000000"/>
          <w:spacing w:val="0"/>
          <w:sz w:val="32"/>
          <w:szCs w:val="32"/>
          <w:shd w:val="clear" w:fill="FFFFFF"/>
        </w:rPr>
        <w:t> </w:t>
      </w:r>
      <w:r>
        <w:rPr>
          <w:rFonts w:hint="eastAsia" w:ascii="仿宋" w:hAnsi="仿宋" w:eastAsia="仿宋" w:cs="仿宋"/>
          <w:i w:val="0"/>
          <w:iCs w:val="0"/>
          <w:caps w:val="0"/>
          <w:color w:val="000000"/>
          <w:spacing w:val="0"/>
          <w:sz w:val="32"/>
          <w:szCs w:val="32"/>
          <w:shd w:val="clear" w:fill="FFFFFF"/>
        </w:rPr>
        <w:t>“一企一档、一人一档”数据规范，推动实现“一数一源一标准”。加强自治区电子证照统一归集和清单化管理，深化电子证照数据共享应用，实现清单内电子证照自动在线调用核验。依法依规共享使用政务数据，加强全流程安全管理，加大对涉及商业秘密、个人信息等数据的保护力度。(</w:t>
      </w:r>
      <w:r>
        <w:rPr>
          <w:rFonts w:hint="eastAsia" w:ascii="楷体" w:hAnsi="楷体" w:eastAsia="楷体" w:cs="楷体"/>
          <w:i w:val="0"/>
          <w:iCs w:val="0"/>
          <w:caps w:val="0"/>
          <w:color w:val="000000"/>
          <w:spacing w:val="0"/>
          <w:sz w:val="32"/>
          <w:szCs w:val="32"/>
          <w:shd w:val="clear" w:fill="FFFFFF"/>
        </w:rPr>
        <w:t>责任单位：</w:t>
      </w:r>
      <w:r>
        <w:rPr>
          <w:rFonts w:hint="eastAsia" w:ascii="仿宋" w:hAnsi="仿宋" w:eastAsia="仿宋" w:cs="仿宋"/>
          <w:i w:val="0"/>
          <w:iCs w:val="0"/>
          <w:caps w:val="0"/>
          <w:color w:val="000000"/>
          <w:spacing w:val="0"/>
          <w:sz w:val="32"/>
          <w:szCs w:val="32"/>
          <w:shd w:val="clear" w:fill="FFFFFF"/>
        </w:rPr>
        <w:t>自治区数字化发展局，自治区各有关部门，各州、市人民政府，各行政公署  </w:t>
      </w:r>
      <w:r>
        <w:rPr>
          <w:rFonts w:hint="eastAsia" w:ascii="方正楷体_GBK" w:hAnsi="方正楷体_GBK" w:eastAsia="方正楷体_GBK" w:cs="方正楷体_GBK"/>
          <w:i w:val="0"/>
          <w:iCs w:val="0"/>
          <w:caps w:val="0"/>
          <w:color w:val="000000"/>
          <w:spacing w:val="0"/>
          <w:sz w:val="32"/>
          <w:szCs w:val="32"/>
          <w:shd w:val="clear" w:fill="FFFFFF"/>
        </w:rPr>
        <w:t> </w:t>
      </w:r>
      <w:r>
        <w:rPr>
          <w:rFonts w:hint="eastAsia" w:ascii="楷体" w:hAnsi="楷体" w:eastAsia="楷体" w:cs="楷体"/>
          <w:i w:val="0"/>
          <w:iCs w:val="0"/>
          <w:caps w:val="0"/>
          <w:color w:val="000000"/>
          <w:spacing w:val="0"/>
          <w:sz w:val="32"/>
          <w:szCs w:val="32"/>
          <w:shd w:val="clear" w:fill="FFFFFF"/>
        </w:rPr>
        <w:t>完成时限：</w:t>
      </w:r>
      <w:r>
        <w:rPr>
          <w:rFonts w:hint="eastAsia" w:ascii="仿宋" w:hAnsi="仿宋" w:eastAsia="仿宋" w:cs="仿宋"/>
          <w:i w:val="0"/>
          <w:iCs w:val="0"/>
          <w:caps w:val="0"/>
          <w:color w:val="000000"/>
          <w:spacing w:val="0"/>
          <w:sz w:val="32"/>
          <w:szCs w:val="32"/>
          <w:shd w:val="clear" w:fill="FFFFFF"/>
        </w:rPr>
        <w:t>持续推进)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both"/>
        <w:rPr>
          <w:rFonts w:hint="eastAsia" w:ascii="宋体" w:hAnsi="宋体" w:eastAsia="宋体" w:cs="宋体"/>
          <w:i w:val="0"/>
          <w:iCs w:val="0"/>
          <w:caps w:val="0"/>
          <w:color w:val="000000"/>
          <w:spacing w:val="0"/>
          <w:sz w:val="21"/>
          <w:szCs w:val="21"/>
        </w:rPr>
      </w:pPr>
      <w:r>
        <w:rPr>
          <w:rFonts w:hint="eastAsia" w:ascii="楷体" w:hAnsi="楷体" w:eastAsia="楷体" w:cs="楷体"/>
          <w:i w:val="0"/>
          <w:iCs w:val="0"/>
          <w:caps w:val="0"/>
          <w:color w:val="000000"/>
          <w:spacing w:val="0"/>
          <w:sz w:val="32"/>
          <w:szCs w:val="32"/>
          <w:shd w:val="clear" w:fill="FFFFFF"/>
        </w:rPr>
        <w:t>（十五）强化帮办代办服务。</w:t>
      </w:r>
      <w:r>
        <w:rPr>
          <w:rFonts w:hint="eastAsia" w:ascii="仿宋" w:hAnsi="仿宋" w:eastAsia="仿宋" w:cs="仿宋"/>
          <w:i w:val="0"/>
          <w:iCs w:val="0"/>
          <w:caps w:val="0"/>
          <w:color w:val="000000"/>
          <w:spacing w:val="0"/>
          <w:sz w:val="32"/>
          <w:szCs w:val="32"/>
          <w:shd w:val="clear" w:fill="FFFFFF"/>
        </w:rPr>
        <w:t>各地各部门建立健全线上线下帮办代办服务体系，提供统一业务咨询、审前辅导、远程导服等帮办代办服务。推动基层能有效承接的公共教育、劳动就业、社会保险、医疗卫生等领域政务服务事项以委托受理、授权办理、帮办代办等方式下沉至便民服务中心（站）办理。细化线下帮办代办工作流程，为老年人、残疾人等特殊群体提供定制化服务。探索在自贸试验区推动项目全流程帮办代办服务，及时解决项目推进中的难点问题。(</w:t>
      </w:r>
      <w:r>
        <w:rPr>
          <w:rFonts w:hint="eastAsia" w:ascii="楷体" w:hAnsi="楷体" w:eastAsia="楷体" w:cs="楷体"/>
          <w:i w:val="0"/>
          <w:iCs w:val="0"/>
          <w:caps w:val="0"/>
          <w:color w:val="000000"/>
          <w:spacing w:val="0"/>
          <w:sz w:val="32"/>
          <w:szCs w:val="32"/>
          <w:shd w:val="clear" w:fill="FFFFFF"/>
        </w:rPr>
        <w:t>责任单位：</w:t>
      </w:r>
      <w:r>
        <w:rPr>
          <w:rFonts w:hint="eastAsia" w:ascii="仿宋" w:hAnsi="仿宋" w:eastAsia="仿宋" w:cs="仿宋"/>
          <w:i w:val="0"/>
          <w:iCs w:val="0"/>
          <w:caps w:val="0"/>
          <w:color w:val="000000"/>
          <w:spacing w:val="0"/>
          <w:sz w:val="32"/>
          <w:szCs w:val="32"/>
          <w:shd w:val="clear" w:fill="FFFFFF"/>
        </w:rPr>
        <w:t>各州、市人民政府，各行政公署，自治区教育厅、人力资源和社会保障厅、卫生健康委、医保局、数字化发展局等自治区各有关部门</w:t>
      </w:r>
      <w:r>
        <w:rPr>
          <w:rFonts w:hint="eastAsia" w:ascii="方正楷体_GBK" w:hAnsi="方正楷体_GBK" w:eastAsia="方正楷体_GBK" w:cs="方正楷体_GBK"/>
          <w:i w:val="0"/>
          <w:iCs w:val="0"/>
          <w:caps w:val="0"/>
          <w:color w:val="000000"/>
          <w:spacing w:val="0"/>
          <w:sz w:val="32"/>
          <w:szCs w:val="32"/>
          <w:shd w:val="clear" w:fill="FFFFFF"/>
        </w:rPr>
        <w:t> </w:t>
      </w:r>
      <w:r>
        <w:rPr>
          <w:rFonts w:hint="eastAsia" w:ascii="楷体" w:hAnsi="楷体" w:eastAsia="楷体" w:cs="楷体"/>
          <w:i w:val="0"/>
          <w:iCs w:val="0"/>
          <w:caps w:val="0"/>
          <w:color w:val="000000"/>
          <w:spacing w:val="0"/>
          <w:sz w:val="32"/>
          <w:szCs w:val="32"/>
          <w:shd w:val="clear" w:fill="FFFFFF"/>
        </w:rPr>
        <w:t>完成时限：</w:t>
      </w:r>
      <w:r>
        <w:rPr>
          <w:rFonts w:hint="eastAsia" w:ascii="仿宋" w:hAnsi="仿宋" w:eastAsia="仿宋" w:cs="仿宋"/>
          <w:i w:val="0"/>
          <w:iCs w:val="0"/>
          <w:caps w:val="0"/>
          <w:color w:val="000000"/>
          <w:spacing w:val="0"/>
          <w:sz w:val="32"/>
          <w:szCs w:val="32"/>
          <w:shd w:val="clear" w:fill="FFFFFF"/>
        </w:rPr>
        <w:t>持续推进)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1"/>
        <w:jc w:val="left"/>
        <w:rPr>
          <w:rFonts w:hint="eastAsia" w:ascii="宋体" w:hAnsi="宋体" w:eastAsia="宋体" w:cs="宋体"/>
          <w:i w:val="0"/>
          <w:iCs w:val="0"/>
          <w:caps w:val="0"/>
          <w:color w:val="000000"/>
          <w:spacing w:val="0"/>
          <w:sz w:val="24"/>
          <w:szCs w:val="24"/>
        </w:rPr>
      </w:pPr>
      <w:r>
        <w:rPr>
          <w:rFonts w:hint="eastAsia" w:ascii="楷体" w:hAnsi="楷体" w:eastAsia="楷体" w:cs="楷体"/>
          <w:i w:val="0"/>
          <w:iCs w:val="0"/>
          <w:caps w:val="0"/>
          <w:color w:val="000000"/>
          <w:spacing w:val="0"/>
          <w:sz w:val="32"/>
          <w:szCs w:val="32"/>
          <w:shd w:val="clear" w:fill="FFFFFF"/>
        </w:rPr>
        <w:t>（十六）健全政务服务标准体系。</w:t>
      </w:r>
      <w:r>
        <w:rPr>
          <w:rFonts w:hint="eastAsia" w:ascii="仿宋" w:hAnsi="仿宋" w:eastAsia="仿宋" w:cs="仿宋"/>
          <w:i w:val="0"/>
          <w:iCs w:val="0"/>
          <w:caps w:val="0"/>
          <w:color w:val="000000"/>
          <w:spacing w:val="0"/>
          <w:sz w:val="32"/>
          <w:szCs w:val="32"/>
          <w:shd w:val="clear" w:fill="FFFFFF"/>
        </w:rPr>
        <w:t>加强自治区政务服务标准总体设计，制定完善自治区一体化政务服务平台和政务服务中心建设、</w:t>
      </w:r>
      <w:r>
        <w:rPr>
          <w:rFonts w:hint="default" w:ascii="Times New Roman" w:hAnsi="Times New Roman" w:eastAsia="仿宋" w:cs="Times New Roman"/>
          <w:i w:val="0"/>
          <w:iCs w:val="0"/>
          <w:caps w:val="0"/>
          <w:color w:val="000000"/>
          <w:spacing w:val="0"/>
          <w:sz w:val="32"/>
          <w:szCs w:val="32"/>
          <w:shd w:val="clear" w:fill="FFFFFF"/>
        </w:rPr>
        <w:t>12345</w:t>
      </w:r>
      <w:r>
        <w:rPr>
          <w:rFonts w:hint="default" w:ascii="仿宋_GB2312" w:hAnsi="仿宋" w:eastAsia="仿宋_GB2312" w:cs="仿宋_GB2312"/>
          <w:i w:val="0"/>
          <w:iCs w:val="0"/>
          <w:caps w:val="0"/>
          <w:color w:val="000000"/>
          <w:spacing w:val="0"/>
          <w:sz w:val="32"/>
          <w:szCs w:val="32"/>
          <w:shd w:val="clear" w:fill="FFFFFF"/>
        </w:rPr>
        <w:t>热线运行等标准规范。健全自治区政务服务事项基础标准，完善自治区政务服务事项基本目录，推动同一政务服务事项受理条件、服务对象、办理流程、申请材料、法定办结时限等在自治区范围内统一。编制集成办理“高效办成一件事”工作指引和办事指南，完善跨区域办事业务标准和操作规程。(</w:t>
      </w:r>
      <w:r>
        <w:rPr>
          <w:rFonts w:hint="eastAsia" w:ascii="楷体" w:hAnsi="楷体" w:eastAsia="楷体" w:cs="楷体"/>
          <w:i w:val="0"/>
          <w:iCs w:val="0"/>
          <w:caps w:val="0"/>
          <w:color w:val="000000"/>
          <w:spacing w:val="0"/>
          <w:sz w:val="32"/>
          <w:szCs w:val="32"/>
          <w:shd w:val="clear" w:fill="FFFFFF"/>
        </w:rPr>
        <w:t>责任单位：</w:t>
      </w:r>
      <w:r>
        <w:rPr>
          <w:rFonts w:hint="eastAsia" w:ascii="仿宋" w:hAnsi="仿宋" w:eastAsia="仿宋" w:cs="仿宋"/>
          <w:i w:val="0"/>
          <w:iCs w:val="0"/>
          <w:caps w:val="0"/>
          <w:color w:val="000000"/>
          <w:spacing w:val="0"/>
          <w:sz w:val="32"/>
          <w:szCs w:val="32"/>
          <w:shd w:val="clear" w:fill="FFFFFF"/>
        </w:rPr>
        <w:t>自治区数字化发展局，自治区各有关部门，各州、市人民政府，各行政公署</w:t>
      </w:r>
      <w:r>
        <w:rPr>
          <w:rFonts w:hint="eastAsia" w:ascii="方正楷体_GBK" w:hAnsi="方正楷体_GBK" w:eastAsia="方正楷体_GBK" w:cs="方正楷体_GBK"/>
          <w:i w:val="0"/>
          <w:iCs w:val="0"/>
          <w:caps w:val="0"/>
          <w:color w:val="000000"/>
          <w:spacing w:val="0"/>
          <w:sz w:val="32"/>
          <w:szCs w:val="32"/>
          <w:shd w:val="clear" w:fill="FFFFFF"/>
        </w:rPr>
        <w:t>   </w:t>
      </w:r>
      <w:r>
        <w:rPr>
          <w:rFonts w:hint="eastAsia" w:ascii="楷体" w:hAnsi="楷体" w:eastAsia="楷体" w:cs="楷体"/>
          <w:i w:val="0"/>
          <w:iCs w:val="0"/>
          <w:caps w:val="0"/>
          <w:color w:val="000000"/>
          <w:spacing w:val="0"/>
          <w:sz w:val="32"/>
          <w:szCs w:val="32"/>
          <w:shd w:val="clear" w:fill="FFFFFF"/>
        </w:rPr>
        <w:t>完成时限：</w:t>
      </w:r>
      <w:r>
        <w:rPr>
          <w:rFonts w:hint="default" w:ascii="Times New Roman" w:hAnsi="Times New Roman" w:eastAsia="仿宋" w:cs="Times New Roman"/>
          <w:i w:val="0"/>
          <w:iCs w:val="0"/>
          <w:caps w:val="0"/>
          <w:color w:val="000000"/>
          <w:spacing w:val="0"/>
          <w:sz w:val="32"/>
          <w:szCs w:val="32"/>
          <w:shd w:val="clear" w:fill="FFFFFF"/>
        </w:rPr>
        <w:t>2025</w:t>
      </w:r>
      <w:r>
        <w:rPr>
          <w:rFonts w:hint="eastAsia" w:ascii="仿宋" w:hAnsi="仿宋" w:eastAsia="仿宋" w:cs="仿宋"/>
          <w:i w:val="0"/>
          <w:iCs w:val="0"/>
          <w:caps w:val="0"/>
          <w:color w:val="000000"/>
          <w:spacing w:val="0"/>
          <w:sz w:val="32"/>
          <w:szCs w:val="32"/>
          <w:shd w:val="clear" w:fill="FFFFFF"/>
        </w:rPr>
        <w:t>年取得阶段性成效，持续推进</w:t>
      </w:r>
      <w:r>
        <w:rPr>
          <w:rFonts w:hint="default" w:ascii="Times New Roman" w:hAnsi="Times New Roman" w:eastAsia="宋体" w:cs="Times New Roman"/>
          <w:i w:val="0"/>
          <w:iCs w:val="0"/>
          <w:caps w:val="0"/>
          <w:color w:val="000000"/>
          <w:spacing w:val="0"/>
          <w:sz w:val="32"/>
          <w:szCs w:val="32"/>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1"/>
        <w:jc w:val="left"/>
        <w:rPr>
          <w:rFonts w:hint="eastAsia" w:ascii="宋体" w:hAnsi="宋体" w:eastAsia="宋体" w:cs="宋体"/>
          <w:i w:val="0"/>
          <w:iCs w:val="0"/>
          <w:caps w:val="0"/>
          <w:color w:val="000000"/>
          <w:spacing w:val="0"/>
          <w:sz w:val="24"/>
          <w:szCs w:val="24"/>
        </w:rPr>
      </w:pPr>
      <w:r>
        <w:rPr>
          <w:rFonts w:hint="eastAsia" w:ascii="楷体" w:hAnsi="楷体" w:eastAsia="楷体" w:cs="楷体"/>
          <w:i w:val="0"/>
          <w:iCs w:val="0"/>
          <w:caps w:val="0"/>
          <w:color w:val="000000"/>
          <w:spacing w:val="0"/>
          <w:sz w:val="32"/>
          <w:szCs w:val="32"/>
          <w:shd w:val="clear" w:fill="FFFFFF"/>
        </w:rPr>
        <w:t>（十七）强化政务服务制度保障。</w:t>
      </w:r>
      <w:r>
        <w:rPr>
          <w:rFonts w:hint="eastAsia" w:ascii="仿宋" w:hAnsi="仿宋" w:eastAsia="仿宋" w:cs="仿宋"/>
          <w:i w:val="0"/>
          <w:iCs w:val="0"/>
          <w:caps w:val="0"/>
          <w:color w:val="000000"/>
          <w:spacing w:val="0"/>
          <w:sz w:val="32"/>
          <w:szCs w:val="32"/>
          <w:shd w:val="clear" w:fill="FFFFFF"/>
        </w:rPr>
        <w:t>加强自治区层面政务服务领域立法研究。及时清理和修订与政务服务改革不相适应的行政法规、规章和行政规范性文件，强化相关业务领域制度保障，破解集成办、承诺办、跨域办、免申办等创新服务模式的制度障碍。完善数字化应用配套政策，保障电子证照和政务数据高效共享应用、电子档案单套归档等法律效力。(</w:t>
      </w:r>
      <w:r>
        <w:rPr>
          <w:rFonts w:hint="eastAsia" w:ascii="楷体" w:hAnsi="楷体" w:eastAsia="楷体" w:cs="楷体"/>
          <w:i w:val="0"/>
          <w:iCs w:val="0"/>
          <w:caps w:val="0"/>
          <w:color w:val="000000"/>
          <w:spacing w:val="0"/>
          <w:sz w:val="32"/>
          <w:szCs w:val="32"/>
          <w:shd w:val="clear" w:fill="FFFFFF"/>
        </w:rPr>
        <w:t>责任单位：</w:t>
      </w:r>
      <w:r>
        <w:rPr>
          <w:rFonts w:hint="eastAsia" w:ascii="仿宋" w:hAnsi="仿宋" w:eastAsia="仿宋" w:cs="仿宋"/>
          <w:i w:val="0"/>
          <w:iCs w:val="0"/>
          <w:caps w:val="0"/>
          <w:color w:val="000000"/>
          <w:spacing w:val="0"/>
          <w:sz w:val="32"/>
          <w:szCs w:val="32"/>
          <w:shd w:val="clear" w:fill="FFFFFF"/>
        </w:rPr>
        <w:t>自治区数字化发展局，自治区各有关部门，各州、市人民政府，各行政公署</w:t>
      </w:r>
      <w:r>
        <w:rPr>
          <w:rFonts w:hint="eastAsia" w:ascii="方正楷体_GBK" w:hAnsi="方正楷体_GBK" w:eastAsia="方正楷体_GBK" w:cs="方正楷体_GBK"/>
          <w:i w:val="0"/>
          <w:iCs w:val="0"/>
          <w:caps w:val="0"/>
          <w:color w:val="000000"/>
          <w:spacing w:val="0"/>
          <w:sz w:val="32"/>
          <w:szCs w:val="32"/>
          <w:shd w:val="clear" w:fill="FFFFFF"/>
        </w:rPr>
        <w:t>   </w:t>
      </w:r>
      <w:r>
        <w:rPr>
          <w:rFonts w:hint="eastAsia" w:ascii="楷体" w:hAnsi="楷体" w:eastAsia="楷体" w:cs="楷体"/>
          <w:i w:val="0"/>
          <w:iCs w:val="0"/>
          <w:caps w:val="0"/>
          <w:color w:val="000000"/>
          <w:spacing w:val="0"/>
          <w:sz w:val="32"/>
          <w:szCs w:val="32"/>
          <w:shd w:val="clear" w:fill="FFFFFF"/>
        </w:rPr>
        <w:t>完成时限：</w:t>
      </w:r>
      <w:r>
        <w:rPr>
          <w:rFonts w:hint="default" w:ascii="Times New Roman" w:hAnsi="Times New Roman" w:eastAsia="仿宋" w:cs="Times New Roman"/>
          <w:i w:val="0"/>
          <w:iCs w:val="0"/>
          <w:caps w:val="0"/>
          <w:color w:val="000000"/>
          <w:spacing w:val="0"/>
          <w:sz w:val="32"/>
          <w:szCs w:val="32"/>
          <w:shd w:val="clear" w:fill="FFFFFF"/>
        </w:rPr>
        <w:t>2025</w:t>
      </w:r>
      <w:r>
        <w:rPr>
          <w:rFonts w:hint="eastAsia" w:ascii="仿宋" w:hAnsi="仿宋" w:eastAsia="仿宋" w:cs="仿宋"/>
          <w:i w:val="0"/>
          <w:iCs w:val="0"/>
          <w:caps w:val="0"/>
          <w:color w:val="000000"/>
          <w:spacing w:val="0"/>
          <w:sz w:val="32"/>
          <w:szCs w:val="32"/>
          <w:shd w:val="clear" w:fill="FFFFFF"/>
        </w:rPr>
        <w:t>年取得阶段性成效，持续推进)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both"/>
        <w:rPr>
          <w:rFonts w:hint="eastAsia" w:ascii="宋体" w:hAnsi="宋体" w:eastAsia="宋体" w:cs="宋体"/>
          <w:i w:val="0"/>
          <w:iCs w:val="0"/>
          <w:caps w:val="0"/>
          <w:color w:val="000000"/>
          <w:spacing w:val="0"/>
          <w:sz w:val="21"/>
          <w:szCs w:val="21"/>
        </w:rPr>
      </w:pPr>
      <w:r>
        <w:rPr>
          <w:rFonts w:hint="eastAsia" w:ascii="楷体" w:hAnsi="楷体" w:eastAsia="楷体" w:cs="楷体"/>
          <w:i w:val="0"/>
          <w:iCs w:val="0"/>
          <w:caps w:val="0"/>
          <w:color w:val="000000"/>
          <w:spacing w:val="0"/>
          <w:sz w:val="32"/>
          <w:szCs w:val="32"/>
          <w:shd w:val="clear" w:fill="FFFFFF"/>
        </w:rPr>
        <w:t>（十八）健全政务服务工作体系。</w:t>
      </w:r>
      <w:r>
        <w:rPr>
          <w:rFonts w:hint="eastAsia" w:ascii="仿宋" w:hAnsi="仿宋" w:eastAsia="仿宋" w:cs="仿宋"/>
          <w:i w:val="0"/>
          <w:iCs w:val="0"/>
          <w:caps w:val="0"/>
          <w:color w:val="000000"/>
          <w:spacing w:val="0"/>
          <w:sz w:val="32"/>
          <w:szCs w:val="32"/>
          <w:shd w:val="clear" w:fill="FFFFFF"/>
        </w:rPr>
        <w:t>推进自治区、市、县、乡、村五级政务服务体系建设，健全一体联动、高效便捷、权责清晰的工作机制。各级人民政府加强政务服务窗口从业人员配备，政务服务机构做好政务服务窗口从业人员管理、培训和考核。出台激励奖励措施，推进综合服务窗口人员统一配备和职业化发展。创新政务服务人才引进、培养、选拔和评价机制，持续提升干部队伍法治思维、服务意识和数字素养，强化政务服务专业化队伍建设。(</w:t>
      </w:r>
      <w:r>
        <w:rPr>
          <w:rFonts w:hint="eastAsia" w:ascii="楷体" w:hAnsi="楷体" w:eastAsia="楷体" w:cs="楷体"/>
          <w:i w:val="0"/>
          <w:iCs w:val="0"/>
          <w:caps w:val="0"/>
          <w:color w:val="000000"/>
          <w:spacing w:val="0"/>
          <w:sz w:val="32"/>
          <w:szCs w:val="32"/>
          <w:shd w:val="clear" w:fill="FFFFFF"/>
        </w:rPr>
        <w:t>责任单位：</w:t>
      </w:r>
      <w:r>
        <w:rPr>
          <w:rFonts w:hint="eastAsia" w:ascii="仿宋" w:hAnsi="仿宋" w:eastAsia="仿宋" w:cs="仿宋"/>
          <w:i w:val="0"/>
          <w:iCs w:val="0"/>
          <w:caps w:val="0"/>
          <w:color w:val="000000"/>
          <w:spacing w:val="0"/>
          <w:sz w:val="32"/>
          <w:szCs w:val="32"/>
          <w:shd w:val="clear" w:fill="FFFFFF"/>
        </w:rPr>
        <w:t>自治区人力资源和社会保障厅、数字化发展局，自治区各有关部门，各州、市人民政府，各行政公署  </w:t>
      </w:r>
      <w:r>
        <w:rPr>
          <w:rFonts w:hint="eastAsia" w:ascii="方正楷体_GBK" w:hAnsi="方正楷体_GBK" w:eastAsia="方正楷体_GBK" w:cs="方正楷体_GBK"/>
          <w:i w:val="0"/>
          <w:iCs w:val="0"/>
          <w:caps w:val="0"/>
          <w:color w:val="000000"/>
          <w:spacing w:val="0"/>
          <w:sz w:val="32"/>
          <w:szCs w:val="32"/>
          <w:shd w:val="clear" w:fill="FFFFFF"/>
        </w:rPr>
        <w:t> </w:t>
      </w:r>
      <w:r>
        <w:rPr>
          <w:rFonts w:hint="eastAsia" w:ascii="楷体" w:hAnsi="楷体" w:eastAsia="楷体" w:cs="楷体"/>
          <w:i w:val="0"/>
          <w:iCs w:val="0"/>
          <w:caps w:val="0"/>
          <w:color w:val="000000"/>
          <w:spacing w:val="0"/>
          <w:sz w:val="32"/>
          <w:szCs w:val="32"/>
          <w:shd w:val="clear" w:fill="FFFFFF"/>
        </w:rPr>
        <w:t>完成时限：</w:t>
      </w:r>
      <w:r>
        <w:rPr>
          <w:rFonts w:hint="eastAsia" w:ascii="仿宋" w:hAnsi="仿宋" w:eastAsia="仿宋" w:cs="仿宋"/>
          <w:i w:val="0"/>
          <w:iCs w:val="0"/>
          <w:caps w:val="0"/>
          <w:color w:val="000000"/>
          <w:spacing w:val="0"/>
          <w:sz w:val="32"/>
          <w:szCs w:val="32"/>
          <w:shd w:val="clear" w:fill="FFFFFF"/>
        </w:rPr>
        <w:t>持续推进)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both"/>
        <w:rPr>
          <w:rFonts w:hint="eastAsia" w:ascii="宋体" w:hAnsi="宋体" w:eastAsia="宋体" w:cs="宋体"/>
          <w:i w:val="0"/>
          <w:iCs w:val="0"/>
          <w:caps w:val="0"/>
          <w:color w:val="000000"/>
          <w:spacing w:val="0"/>
          <w:sz w:val="21"/>
          <w:szCs w:val="21"/>
        </w:rPr>
      </w:pPr>
      <w:r>
        <w:rPr>
          <w:rFonts w:hint="eastAsia" w:ascii="楷体" w:hAnsi="楷体" w:eastAsia="楷体" w:cs="楷体"/>
          <w:i w:val="0"/>
          <w:iCs w:val="0"/>
          <w:caps w:val="0"/>
          <w:color w:val="000000"/>
          <w:spacing w:val="0"/>
          <w:sz w:val="32"/>
          <w:szCs w:val="32"/>
          <w:shd w:val="clear" w:fill="FFFFFF"/>
        </w:rPr>
        <w:t>（十九）强化“高效办成一件事”评估考核。</w:t>
      </w:r>
      <w:r>
        <w:rPr>
          <w:rFonts w:hint="eastAsia" w:ascii="仿宋" w:hAnsi="仿宋" w:eastAsia="仿宋" w:cs="仿宋"/>
          <w:i w:val="0"/>
          <w:iCs w:val="0"/>
          <w:caps w:val="0"/>
          <w:color w:val="000000"/>
          <w:spacing w:val="0"/>
          <w:sz w:val="32"/>
          <w:szCs w:val="32"/>
          <w:shd w:val="clear" w:fill="FFFFFF"/>
        </w:rPr>
        <w:t>按照国家评估考核要求，建立自治区“高效办成一件事”评估指标体系，实现对集成办、跨域办、承诺办、免申办、一类事一站办多端多渠道数据进行综合成效分析，做到政务服务效能问题“早发现、早解决、早提升”。(</w:t>
      </w:r>
      <w:r>
        <w:rPr>
          <w:rFonts w:hint="eastAsia" w:ascii="楷体" w:hAnsi="楷体" w:eastAsia="楷体" w:cs="楷体"/>
          <w:i w:val="0"/>
          <w:iCs w:val="0"/>
          <w:caps w:val="0"/>
          <w:color w:val="000000"/>
          <w:spacing w:val="0"/>
          <w:sz w:val="32"/>
          <w:szCs w:val="32"/>
          <w:shd w:val="clear" w:fill="FFFFFF"/>
        </w:rPr>
        <w:t>责任单位：</w:t>
      </w:r>
      <w:r>
        <w:rPr>
          <w:rFonts w:hint="eastAsia" w:ascii="仿宋" w:hAnsi="仿宋" w:eastAsia="仿宋" w:cs="仿宋"/>
          <w:i w:val="0"/>
          <w:iCs w:val="0"/>
          <w:caps w:val="0"/>
          <w:color w:val="000000"/>
          <w:spacing w:val="0"/>
          <w:sz w:val="32"/>
          <w:szCs w:val="32"/>
          <w:shd w:val="clear" w:fill="FFFFFF"/>
        </w:rPr>
        <w:t>自治区数字化发展局等自治区各有关部门，各州、市人民政府，各行政公署</w:t>
      </w:r>
      <w:r>
        <w:rPr>
          <w:rFonts w:hint="eastAsia" w:ascii="方正楷体_GBK" w:hAnsi="方正楷体_GBK" w:eastAsia="方正楷体_GBK" w:cs="方正楷体_GBK"/>
          <w:i w:val="0"/>
          <w:iCs w:val="0"/>
          <w:caps w:val="0"/>
          <w:color w:val="000000"/>
          <w:spacing w:val="0"/>
          <w:sz w:val="32"/>
          <w:szCs w:val="32"/>
          <w:shd w:val="clear" w:fill="FFFFFF"/>
        </w:rPr>
        <w:t>   </w:t>
      </w:r>
      <w:r>
        <w:rPr>
          <w:rFonts w:hint="eastAsia" w:ascii="楷体" w:hAnsi="楷体" w:eastAsia="楷体" w:cs="楷体"/>
          <w:i w:val="0"/>
          <w:iCs w:val="0"/>
          <w:caps w:val="0"/>
          <w:color w:val="000000"/>
          <w:spacing w:val="0"/>
          <w:sz w:val="32"/>
          <w:szCs w:val="32"/>
          <w:shd w:val="clear" w:fill="FFFFFF"/>
        </w:rPr>
        <w:t>完成时限：</w:t>
      </w:r>
      <w:r>
        <w:rPr>
          <w:rFonts w:hint="eastAsia" w:ascii="仿宋" w:hAnsi="仿宋" w:eastAsia="仿宋" w:cs="仿宋"/>
          <w:i w:val="0"/>
          <w:iCs w:val="0"/>
          <w:caps w:val="0"/>
          <w:color w:val="000000"/>
          <w:spacing w:val="0"/>
          <w:sz w:val="32"/>
          <w:szCs w:val="32"/>
          <w:shd w:val="clear" w:fill="FFFFFF"/>
        </w:rPr>
        <w:t>持续推进)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both"/>
        <w:rPr>
          <w:rFonts w:hint="eastAsia" w:ascii="微软雅黑" w:hAnsi="微软雅黑" w:eastAsia="微软雅黑" w:cs="微软雅黑"/>
          <w:i w:val="0"/>
          <w:iCs w:val="0"/>
          <w:caps w:val="0"/>
          <w:color w:val="000000"/>
          <w:spacing w:val="0"/>
          <w:sz w:val="21"/>
          <w:szCs w:val="21"/>
        </w:rPr>
      </w:pPr>
      <w:r>
        <w:rPr>
          <w:rFonts w:hint="eastAsia" w:ascii="黑体" w:hAnsi="宋体" w:eastAsia="黑体" w:cs="黑体"/>
          <w:i w:val="0"/>
          <w:iCs w:val="0"/>
          <w:caps w:val="0"/>
          <w:color w:val="000000"/>
          <w:spacing w:val="0"/>
          <w:sz w:val="32"/>
          <w:szCs w:val="32"/>
          <w:shd w:val="clear" w:fill="FFFFFF"/>
        </w:rPr>
        <w:t>三、保障措施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both"/>
        <w:rPr>
          <w:rFonts w:hint="eastAsia" w:ascii="微软雅黑" w:hAnsi="微软雅黑" w:eastAsia="微软雅黑" w:cs="微软雅黑"/>
          <w:i w:val="0"/>
          <w:iCs w:val="0"/>
          <w:caps w:val="0"/>
          <w:color w:val="000000"/>
          <w:spacing w:val="0"/>
          <w:sz w:val="21"/>
          <w:szCs w:val="21"/>
        </w:rPr>
      </w:pPr>
      <w:r>
        <w:rPr>
          <w:rFonts w:hint="eastAsia" w:ascii="楷体" w:hAnsi="微软雅黑" w:eastAsia="楷体" w:cs="楷体"/>
          <w:i w:val="0"/>
          <w:iCs w:val="0"/>
          <w:caps w:val="0"/>
          <w:color w:val="000000"/>
          <w:spacing w:val="0"/>
          <w:sz w:val="32"/>
          <w:szCs w:val="32"/>
          <w:shd w:val="clear" w:fill="FFFFFF"/>
        </w:rPr>
        <w:t>（一）加强组织实施。</w:t>
      </w:r>
      <w:r>
        <w:rPr>
          <w:rFonts w:hint="eastAsia" w:ascii="仿宋" w:hAnsi="仿宋" w:eastAsia="仿宋" w:cs="仿宋"/>
          <w:i w:val="0"/>
          <w:iCs w:val="0"/>
          <w:caps w:val="0"/>
          <w:color w:val="000000"/>
          <w:spacing w:val="0"/>
          <w:sz w:val="32"/>
          <w:szCs w:val="32"/>
          <w:shd w:val="clear" w:fill="FFFFFF"/>
        </w:rPr>
        <w:t>自治区数字化改革领导小组办公室要加大统筹协调工作力度。各地各部门要提高政治站位，切实加强组织领导，压实责任，按照工作分工对涉及本部门本行业的事项强化业务联动、业务标准化和数据共享，打造地（州、市）特色企业专属空间。对照“高效办成一件事”</w:t>
      </w:r>
      <w:r>
        <w:rPr>
          <w:rFonts w:hint="default" w:ascii="Times New Roman" w:hAnsi="Times New Roman" w:eastAsia="仿宋" w:cs="Times New Roman"/>
          <w:i w:val="0"/>
          <w:iCs w:val="0"/>
          <w:caps w:val="0"/>
          <w:color w:val="000000"/>
          <w:spacing w:val="0"/>
          <w:sz w:val="32"/>
          <w:szCs w:val="32"/>
          <w:shd w:val="clear" w:fill="FFFFFF"/>
        </w:rPr>
        <w:t>2024</w:t>
      </w:r>
      <w:r>
        <w:rPr>
          <w:rFonts w:hint="default" w:ascii="仿宋_GB2312" w:hAnsi="仿宋" w:eastAsia="仿宋_GB2312" w:cs="仿宋_GB2312"/>
          <w:i w:val="0"/>
          <w:iCs w:val="0"/>
          <w:caps w:val="0"/>
          <w:color w:val="000000"/>
          <w:spacing w:val="0"/>
          <w:sz w:val="32"/>
          <w:szCs w:val="32"/>
          <w:shd w:val="clear" w:fill="FFFFFF"/>
        </w:rPr>
        <w:t>年度重点事项和创新事项清单（后附“高效办成一件事”</w:t>
      </w:r>
      <w:r>
        <w:rPr>
          <w:rFonts w:hint="default" w:ascii="Times New Roman" w:hAnsi="Times New Roman" w:eastAsia="仿宋" w:cs="Times New Roman"/>
          <w:i w:val="0"/>
          <w:iCs w:val="0"/>
          <w:caps w:val="0"/>
          <w:color w:val="000000"/>
          <w:spacing w:val="0"/>
          <w:sz w:val="32"/>
          <w:szCs w:val="32"/>
          <w:shd w:val="clear" w:fill="FFFFFF"/>
        </w:rPr>
        <w:t>2024</w:t>
      </w:r>
      <w:r>
        <w:rPr>
          <w:rFonts w:hint="default" w:ascii="仿宋_GB2312" w:hAnsi="仿宋" w:eastAsia="仿宋_GB2312" w:cs="仿宋_GB2312"/>
          <w:i w:val="0"/>
          <w:iCs w:val="0"/>
          <w:caps w:val="0"/>
          <w:color w:val="000000"/>
          <w:spacing w:val="0"/>
          <w:sz w:val="32"/>
          <w:szCs w:val="32"/>
          <w:shd w:val="clear" w:fill="FFFFFF"/>
        </w:rPr>
        <w:t>年度重点事项清单、“高效办成一件事”</w:t>
      </w:r>
      <w:r>
        <w:rPr>
          <w:rFonts w:hint="default" w:ascii="Times New Roman" w:hAnsi="Times New Roman" w:eastAsia="仿宋" w:cs="Times New Roman"/>
          <w:i w:val="0"/>
          <w:iCs w:val="0"/>
          <w:caps w:val="0"/>
          <w:color w:val="000000"/>
          <w:spacing w:val="0"/>
          <w:sz w:val="32"/>
          <w:szCs w:val="32"/>
          <w:shd w:val="clear" w:fill="FFFFFF"/>
        </w:rPr>
        <w:t>2024</w:t>
      </w:r>
      <w:r>
        <w:rPr>
          <w:rFonts w:hint="default" w:ascii="仿宋_GB2312" w:hAnsi="仿宋" w:eastAsia="仿宋_GB2312" w:cs="仿宋_GB2312"/>
          <w:i w:val="0"/>
          <w:iCs w:val="0"/>
          <w:caps w:val="0"/>
          <w:color w:val="000000"/>
          <w:spacing w:val="0"/>
          <w:sz w:val="32"/>
          <w:szCs w:val="32"/>
          <w:shd w:val="clear" w:fill="FFFFFF"/>
        </w:rPr>
        <w:t>年度创新事项清单），各牵头部门要切实发挥牵头作用，负责会同配合部门，按照“一件事一个专班、一件事一个方案”要求，完成各“高效办成一件事”重点事项业务工作方案联合印发。各地（州、市）人民政府（行政公署）要统筹推进本地“高效办成一件事”工作，结合创新工作实际，细化落实措施，确保各项工作同频共振、同向发力、同步推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both"/>
        <w:rPr>
          <w:rFonts w:hint="eastAsia" w:ascii="微软雅黑" w:hAnsi="微软雅黑" w:eastAsia="微软雅黑" w:cs="微软雅黑"/>
          <w:i w:val="0"/>
          <w:iCs w:val="0"/>
          <w:caps w:val="0"/>
          <w:color w:val="000000"/>
          <w:spacing w:val="0"/>
          <w:sz w:val="21"/>
          <w:szCs w:val="21"/>
        </w:rPr>
      </w:pPr>
      <w:r>
        <w:rPr>
          <w:rFonts w:hint="eastAsia" w:ascii="楷体" w:hAnsi="微软雅黑" w:eastAsia="楷体" w:cs="楷体"/>
          <w:i w:val="0"/>
          <w:iCs w:val="0"/>
          <w:caps w:val="0"/>
          <w:color w:val="000000"/>
          <w:spacing w:val="0"/>
          <w:sz w:val="32"/>
          <w:szCs w:val="32"/>
          <w:shd w:val="clear" w:fill="FFFFFF"/>
        </w:rPr>
        <w:t>（二）强化改革创新。</w:t>
      </w:r>
      <w:r>
        <w:rPr>
          <w:rFonts w:hint="eastAsia" w:ascii="仿宋" w:hAnsi="仿宋" w:eastAsia="仿宋" w:cs="仿宋"/>
          <w:i w:val="0"/>
          <w:iCs w:val="0"/>
          <w:caps w:val="0"/>
          <w:color w:val="000000"/>
          <w:spacing w:val="0"/>
          <w:sz w:val="32"/>
          <w:szCs w:val="32"/>
          <w:shd w:val="clear" w:fill="FFFFFF"/>
        </w:rPr>
        <w:t>各地各部门要结合实际，学习借鉴，集成创新，进一步拓展落实“承诺办、好易办、免申办、跨域办”，推动“一件事”向“一类事”升级。鼓励各地各部门拓展服务领域和链条，力争重点领域、重点事项取得更大突破，及时总结行之有效，具有新疆特色的经验做法和典型案例，报送至自治区数字化发展局，在全区范围复制推广，推动“一地创新、多地复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both"/>
        <w:rPr>
          <w:rFonts w:hint="eastAsia" w:ascii="微软雅黑" w:hAnsi="微软雅黑" w:eastAsia="微软雅黑" w:cs="微软雅黑"/>
          <w:i w:val="0"/>
          <w:iCs w:val="0"/>
          <w:caps w:val="0"/>
          <w:color w:val="000000"/>
          <w:spacing w:val="0"/>
          <w:sz w:val="21"/>
          <w:szCs w:val="21"/>
        </w:rPr>
      </w:pPr>
      <w:r>
        <w:rPr>
          <w:rFonts w:hint="eastAsia" w:ascii="楷体" w:hAnsi="微软雅黑" w:eastAsia="楷体" w:cs="楷体"/>
          <w:i w:val="0"/>
          <w:iCs w:val="0"/>
          <w:caps w:val="0"/>
          <w:color w:val="000000"/>
          <w:spacing w:val="0"/>
          <w:sz w:val="32"/>
          <w:szCs w:val="32"/>
          <w:shd w:val="clear" w:fill="FFFFFF"/>
        </w:rPr>
        <w:t>（三）强化评估监督。</w:t>
      </w:r>
      <w:r>
        <w:rPr>
          <w:rFonts w:hint="eastAsia" w:ascii="仿宋" w:hAnsi="仿宋" w:eastAsia="仿宋" w:cs="仿宋"/>
          <w:i w:val="0"/>
          <w:iCs w:val="0"/>
          <w:caps w:val="0"/>
          <w:color w:val="000000"/>
          <w:spacing w:val="0"/>
          <w:sz w:val="32"/>
          <w:szCs w:val="32"/>
          <w:shd w:val="clear" w:fill="FFFFFF"/>
        </w:rPr>
        <w:t>将“高效办成一件事”列入自治区人民政府年度督查事项。各地各部门要压茬推进，探索开展“我陪群众走流程”“政务服务体验员”等工作，强化“高效办成一件事”工作与政务服务“好差评”系统、</w:t>
      </w:r>
      <w:r>
        <w:rPr>
          <w:rFonts w:hint="default" w:ascii="Times New Roman" w:hAnsi="Times New Roman" w:eastAsia="仿宋" w:cs="Times New Roman"/>
          <w:i w:val="0"/>
          <w:iCs w:val="0"/>
          <w:caps w:val="0"/>
          <w:color w:val="000000"/>
          <w:spacing w:val="0"/>
          <w:sz w:val="32"/>
          <w:szCs w:val="32"/>
          <w:shd w:val="clear" w:fill="FFFFFF"/>
        </w:rPr>
        <w:t>12345</w:t>
      </w:r>
      <w:r>
        <w:rPr>
          <w:rFonts w:hint="default" w:ascii="仿宋_GB2312" w:hAnsi="仿宋" w:eastAsia="仿宋_GB2312" w:cs="仿宋_GB2312"/>
          <w:i w:val="0"/>
          <w:iCs w:val="0"/>
          <w:caps w:val="0"/>
          <w:color w:val="000000"/>
          <w:spacing w:val="0"/>
          <w:sz w:val="32"/>
          <w:szCs w:val="32"/>
          <w:shd w:val="clear" w:fill="FFFFFF"/>
        </w:rPr>
        <w:t>政务服务热线对接联动，加强电话满意度调查、线下政务服务场所第三方评估，让企业和群众评判便民利企改革成效。将“高效办成一件事”工作纳入数字政府考核评估范围，并将各项任务落实情况作为领导班子和领导干部年度（绩效）考核的重要依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1"/>
          <w:szCs w:val="21"/>
        </w:rPr>
      </w:pPr>
      <w:r>
        <w:rPr>
          <w:rFonts w:hint="eastAsia" w:ascii="楷体" w:hAnsi="微软雅黑" w:eastAsia="楷体" w:cs="楷体"/>
          <w:i w:val="0"/>
          <w:iCs w:val="0"/>
          <w:caps w:val="0"/>
          <w:color w:val="000000"/>
          <w:spacing w:val="0"/>
          <w:sz w:val="32"/>
          <w:szCs w:val="32"/>
          <w:shd w:val="clear" w:fill="FFFFFF"/>
        </w:rPr>
        <w:t>（四）注重宣传推广。</w:t>
      </w:r>
      <w:r>
        <w:rPr>
          <w:rFonts w:hint="eastAsia" w:ascii="仿宋" w:hAnsi="仿宋" w:eastAsia="仿宋" w:cs="仿宋"/>
          <w:i w:val="0"/>
          <w:iCs w:val="0"/>
          <w:caps w:val="0"/>
          <w:color w:val="000000"/>
          <w:spacing w:val="0"/>
          <w:sz w:val="32"/>
          <w:szCs w:val="32"/>
          <w:shd w:val="clear" w:fill="FFFFFF"/>
        </w:rPr>
        <w:t>各地各部门要及时向社会发布“高效办成一件事”事项清单、办事流程和办事指南等相关信息，通过电视、报刊、网络、自媒体等媒介，多渠道、多形式、多语言加强政策解读，正确引导社会预期，不断提升“高效办成一件事”工作的感知度和影响力，积极营造良好社会氛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both"/>
        <w:rPr>
          <w:rFonts w:hint="default" w:ascii="Calibri" w:hAnsi="Calibri" w:cs="Calibri"/>
          <w:i w:val="0"/>
          <w:iCs w:val="0"/>
          <w:caps w:val="0"/>
          <w:color w:val="000000"/>
          <w:spacing w:val="0"/>
          <w:sz w:val="21"/>
          <w:szCs w:val="21"/>
        </w:rPr>
      </w:pPr>
      <w:r>
        <w:rPr>
          <w:rFonts w:hint="default" w:ascii="Calibri" w:hAnsi="Calibri" w:cs="Calibri"/>
          <w:i w:val="0"/>
          <w:iCs w:val="0"/>
          <w:caps w:val="0"/>
          <w:color w:val="000000"/>
          <w:spacing w:val="0"/>
          <w:sz w:val="21"/>
          <w:szCs w:val="21"/>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both"/>
        <w:rPr>
          <w:rFonts w:hint="default" w:ascii="Calibri" w:hAnsi="Calibri" w:cs="Calibri"/>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sz w:val="32"/>
          <w:szCs w:val="32"/>
          <w:shd w:val="clear" w:fill="FFFFFF"/>
        </w:rPr>
        <w:t>附件：</w:t>
      </w:r>
      <w:r>
        <w:rPr>
          <w:rFonts w:hint="default" w:ascii="Times New Roman" w:hAnsi="Times New Roman" w:cs="Times New Roman"/>
          <w:i w:val="0"/>
          <w:iCs w:val="0"/>
          <w:caps w:val="0"/>
          <w:color w:val="000000"/>
          <w:spacing w:val="0"/>
          <w:sz w:val="32"/>
          <w:szCs w:val="32"/>
          <w:shd w:val="clear" w:fill="FFFFFF"/>
        </w:rPr>
        <w:t>1</w:t>
      </w:r>
      <w:r>
        <w:rPr>
          <w:rFonts w:hint="default" w:ascii="仿宋_GB2312" w:hAnsi="Times New Roman" w:eastAsia="仿宋_GB2312" w:cs="仿宋_GB2312"/>
          <w:i w:val="0"/>
          <w:iCs w:val="0"/>
          <w:caps w:val="0"/>
          <w:color w:val="000000"/>
          <w:spacing w:val="0"/>
          <w:sz w:val="32"/>
          <w:szCs w:val="32"/>
          <w:shd w:val="clear" w:fill="FFFFFF"/>
        </w:rPr>
        <w:t>．</w:t>
      </w:r>
      <w:r>
        <w:rPr>
          <w:rFonts w:hint="default" w:ascii="仿宋_GB2312" w:hAnsi="仿宋" w:eastAsia="仿宋_GB2312" w:cs="仿宋_GB2312"/>
          <w:i w:val="0"/>
          <w:iCs w:val="0"/>
          <w:caps w:val="0"/>
          <w:color w:val="000000"/>
          <w:spacing w:val="0"/>
          <w:sz w:val="32"/>
          <w:szCs w:val="32"/>
          <w:shd w:val="clear" w:fill="FFFFFF"/>
        </w:rPr>
        <w:t>“高效办成一件事”</w:t>
      </w:r>
      <w:r>
        <w:rPr>
          <w:rFonts w:hint="default" w:ascii="Times New Roman" w:hAnsi="Times New Roman" w:eastAsia="仿宋" w:cs="Times New Roman"/>
          <w:i w:val="0"/>
          <w:iCs w:val="0"/>
          <w:caps w:val="0"/>
          <w:color w:val="000000"/>
          <w:spacing w:val="0"/>
          <w:sz w:val="32"/>
          <w:szCs w:val="32"/>
          <w:shd w:val="clear" w:fill="FFFFFF"/>
        </w:rPr>
        <w:t>2024</w:t>
      </w:r>
      <w:r>
        <w:rPr>
          <w:rFonts w:hint="default" w:ascii="仿宋_GB2312" w:hAnsi="仿宋" w:eastAsia="仿宋_GB2312" w:cs="仿宋_GB2312"/>
          <w:i w:val="0"/>
          <w:iCs w:val="0"/>
          <w:caps w:val="0"/>
          <w:color w:val="000000"/>
          <w:spacing w:val="0"/>
          <w:sz w:val="32"/>
          <w:szCs w:val="32"/>
          <w:shd w:val="clear" w:fill="FFFFFF"/>
        </w:rPr>
        <w:t>年度重点事项清单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1600"/>
        <w:jc w:val="both"/>
        <w:rPr>
          <w:rFonts w:hint="default" w:ascii="Calibri" w:hAnsi="Calibri" w:cs="Calibri"/>
          <w:i w:val="0"/>
          <w:iCs w:val="0"/>
          <w:caps w:val="0"/>
          <w:color w:val="000000"/>
          <w:spacing w:val="0"/>
          <w:sz w:val="21"/>
          <w:szCs w:val="21"/>
        </w:rPr>
      </w:pPr>
      <w:r>
        <w:rPr>
          <w:rFonts w:hint="default" w:ascii="Times New Roman" w:hAnsi="Times New Roman" w:eastAsia="仿宋" w:cs="Times New Roman"/>
          <w:i w:val="0"/>
          <w:iCs w:val="0"/>
          <w:caps w:val="0"/>
          <w:color w:val="000000"/>
          <w:spacing w:val="0"/>
          <w:sz w:val="32"/>
          <w:szCs w:val="32"/>
          <w:shd w:val="clear" w:fill="FFFFFF"/>
        </w:rPr>
        <w:t>2</w:t>
      </w:r>
      <w:r>
        <w:rPr>
          <w:rFonts w:hint="default" w:ascii="仿宋_GB2312" w:hAnsi="Times New Roman" w:eastAsia="仿宋_GB2312" w:cs="仿宋_GB2312"/>
          <w:i w:val="0"/>
          <w:iCs w:val="0"/>
          <w:caps w:val="0"/>
          <w:color w:val="000000"/>
          <w:spacing w:val="0"/>
          <w:sz w:val="32"/>
          <w:szCs w:val="32"/>
          <w:shd w:val="clear" w:fill="FFFFFF"/>
        </w:rPr>
        <w:t>．</w:t>
      </w:r>
      <w:r>
        <w:rPr>
          <w:rFonts w:hint="default" w:ascii="仿宋_GB2312" w:hAnsi="仿宋" w:eastAsia="仿宋_GB2312" w:cs="仿宋_GB2312"/>
          <w:i w:val="0"/>
          <w:iCs w:val="0"/>
          <w:caps w:val="0"/>
          <w:color w:val="000000"/>
          <w:spacing w:val="0"/>
          <w:sz w:val="32"/>
          <w:szCs w:val="32"/>
          <w:shd w:val="clear" w:fill="FFFFFF"/>
        </w:rPr>
        <w:t>“高效办成一件事”</w:t>
      </w:r>
      <w:r>
        <w:rPr>
          <w:rFonts w:hint="default" w:ascii="Times New Roman" w:hAnsi="Times New Roman" w:eastAsia="仿宋" w:cs="Times New Roman"/>
          <w:i w:val="0"/>
          <w:iCs w:val="0"/>
          <w:caps w:val="0"/>
          <w:color w:val="000000"/>
          <w:spacing w:val="0"/>
          <w:sz w:val="32"/>
          <w:szCs w:val="32"/>
          <w:shd w:val="clear" w:fill="FFFFFF"/>
        </w:rPr>
        <w:t>2024</w:t>
      </w:r>
      <w:r>
        <w:rPr>
          <w:rFonts w:hint="default" w:ascii="仿宋_GB2312" w:hAnsi="仿宋" w:eastAsia="仿宋_GB2312" w:cs="仿宋_GB2312"/>
          <w:i w:val="0"/>
          <w:iCs w:val="0"/>
          <w:caps w:val="0"/>
          <w:color w:val="000000"/>
          <w:spacing w:val="0"/>
          <w:sz w:val="32"/>
          <w:szCs w:val="32"/>
          <w:shd w:val="clear" w:fill="FFFFFF"/>
        </w:rPr>
        <w:t>年度创新事项清单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1600"/>
        <w:jc w:val="both"/>
        <w:rPr>
          <w:rFonts w:hint="default" w:ascii="Calibri" w:hAnsi="Calibri" w:cs="Calibri"/>
          <w:i w:val="0"/>
          <w:iCs w:val="0"/>
          <w:caps w:val="0"/>
          <w:color w:val="000000"/>
          <w:spacing w:val="0"/>
          <w:sz w:val="21"/>
          <w:szCs w:val="21"/>
        </w:rPr>
      </w:pPr>
      <w:r>
        <w:rPr>
          <w:rFonts w:hint="default" w:ascii="Times New Roman" w:hAnsi="Times New Roman" w:eastAsia="仿宋" w:cs="Times New Roman"/>
          <w:i w:val="0"/>
          <w:iCs w:val="0"/>
          <w:caps w:val="0"/>
          <w:color w:val="000000"/>
          <w:spacing w:val="0"/>
          <w:sz w:val="32"/>
          <w:szCs w:val="32"/>
          <w:shd w:val="clear" w:fill="FFFFFF"/>
        </w:rPr>
        <w:t>3</w:t>
      </w:r>
      <w:r>
        <w:rPr>
          <w:rFonts w:hint="default" w:ascii="仿宋_GB2312" w:hAnsi="Times New Roman" w:eastAsia="仿宋_GB2312" w:cs="仿宋_GB2312"/>
          <w:i w:val="0"/>
          <w:iCs w:val="0"/>
          <w:caps w:val="0"/>
          <w:color w:val="000000"/>
          <w:spacing w:val="0"/>
          <w:sz w:val="32"/>
          <w:szCs w:val="32"/>
          <w:shd w:val="clear" w:fill="FFFFFF"/>
        </w:rPr>
        <w:t>．</w:t>
      </w:r>
      <w:r>
        <w:rPr>
          <w:rFonts w:hint="default" w:ascii="Times New Roman" w:hAnsi="Times New Roman" w:cs="Times New Roman"/>
          <w:i w:val="0"/>
          <w:iCs w:val="0"/>
          <w:caps w:val="0"/>
          <w:color w:val="000000"/>
          <w:spacing w:val="0"/>
          <w:sz w:val="32"/>
          <w:szCs w:val="32"/>
          <w:shd w:val="clear" w:fill="FFFFFF"/>
        </w:rPr>
        <w:t>2024</w:t>
      </w:r>
      <w:r>
        <w:rPr>
          <w:rFonts w:hint="default" w:ascii="仿宋_GB2312" w:hAnsi="仿宋" w:eastAsia="仿宋_GB2312" w:cs="仿宋_GB2312"/>
          <w:i w:val="0"/>
          <w:iCs w:val="0"/>
          <w:caps w:val="0"/>
          <w:color w:val="000000"/>
          <w:spacing w:val="0"/>
          <w:sz w:val="32"/>
          <w:szCs w:val="32"/>
          <w:shd w:val="clear" w:fill="FFFFFF"/>
        </w:rPr>
        <w:t>年度</w:t>
      </w:r>
      <w:r>
        <w:rPr>
          <w:rFonts w:hint="default" w:ascii="Times New Roman" w:hAnsi="Times New Roman" w:eastAsia="仿宋" w:cs="Times New Roman"/>
          <w:i w:val="0"/>
          <w:iCs w:val="0"/>
          <w:caps w:val="0"/>
          <w:color w:val="000000"/>
          <w:spacing w:val="0"/>
          <w:sz w:val="32"/>
          <w:szCs w:val="32"/>
          <w:shd w:val="clear" w:fill="FFFFFF"/>
        </w:rPr>
        <w:t>20</w:t>
      </w:r>
      <w:r>
        <w:rPr>
          <w:rFonts w:hint="default" w:ascii="仿宋_GB2312" w:hAnsi="仿宋" w:eastAsia="仿宋_GB2312" w:cs="仿宋_GB2312"/>
          <w:i w:val="0"/>
          <w:iCs w:val="0"/>
          <w:caps w:val="0"/>
          <w:color w:val="000000"/>
          <w:spacing w:val="0"/>
          <w:sz w:val="32"/>
          <w:szCs w:val="32"/>
          <w:shd w:val="clear" w:fill="FFFFFF"/>
        </w:rPr>
        <w:t>项“一类事一站办”专题清单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1600"/>
        <w:jc w:val="both"/>
        <w:rPr>
          <w:rFonts w:hint="default" w:ascii="Calibri" w:hAnsi="Calibri" w:cs="Calibri"/>
          <w:i w:val="0"/>
          <w:iCs w:val="0"/>
          <w:caps w:val="0"/>
          <w:color w:val="000000"/>
          <w:spacing w:val="0"/>
          <w:sz w:val="21"/>
          <w:szCs w:val="21"/>
        </w:rPr>
      </w:pPr>
      <w:r>
        <w:rPr>
          <w:rFonts w:hint="default" w:ascii="Calibri" w:hAnsi="Calibri" w:cs="Calibri"/>
          <w:i w:val="0"/>
          <w:iCs w:val="0"/>
          <w:caps w:val="0"/>
          <w:color w:val="000000"/>
          <w:spacing w:val="0"/>
          <w:sz w:val="21"/>
          <w:szCs w:val="21"/>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1600"/>
        <w:jc w:val="both"/>
        <w:rPr>
          <w:rFonts w:hint="default" w:ascii="Calibri" w:hAnsi="Calibri" w:cs="Calibri"/>
          <w:i w:val="0"/>
          <w:iCs w:val="0"/>
          <w:caps w:val="0"/>
          <w:color w:val="000000"/>
          <w:spacing w:val="0"/>
          <w:sz w:val="21"/>
          <w:szCs w:val="21"/>
        </w:rPr>
      </w:pPr>
      <w:r>
        <w:rPr>
          <w:rFonts w:hint="default" w:ascii="Calibri" w:hAnsi="Calibri" w:cs="Calibri"/>
          <w:i w:val="0"/>
          <w:iCs w:val="0"/>
          <w:caps w:val="0"/>
          <w:color w:val="000000"/>
          <w:spacing w:val="0"/>
          <w:sz w:val="21"/>
          <w:szCs w:val="21"/>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both"/>
        <w:rPr>
          <w:rFonts w:hint="default" w:ascii="Calibri" w:hAnsi="Calibri" w:cs="Calibri"/>
          <w:i w:val="0"/>
          <w:iCs w:val="0"/>
          <w:caps w:val="0"/>
          <w:color w:val="000000"/>
          <w:spacing w:val="0"/>
          <w:sz w:val="21"/>
          <w:szCs w:val="21"/>
        </w:rPr>
      </w:pPr>
      <w:r>
        <w:rPr>
          <w:rFonts w:hint="default" w:ascii="Calibri" w:hAnsi="Calibri" w:cs="Calibri"/>
          <w:i w:val="0"/>
          <w:iCs w:val="0"/>
          <w:caps w:val="0"/>
          <w:color w:val="000000"/>
          <w:spacing w:val="0"/>
          <w:sz w:val="21"/>
          <w:szCs w:val="21"/>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default" w:ascii="Calibri" w:hAnsi="Calibri" w:cs="Calibri"/>
          <w:i w:val="0"/>
          <w:iCs w:val="0"/>
          <w:caps w:val="0"/>
          <w:color w:val="000000"/>
          <w:spacing w:val="0"/>
          <w:sz w:val="21"/>
          <w:szCs w:val="21"/>
        </w:rPr>
      </w:pPr>
      <w:r>
        <w:rPr>
          <w:rFonts w:hint="eastAsia" w:ascii="方正小标宋简体" w:hAnsi="方正小标宋简体" w:eastAsia="方正小标宋简体" w:cs="方正小标宋简体"/>
          <w:i w:val="0"/>
          <w:iCs w:val="0"/>
          <w:caps w:val="0"/>
          <w:color w:val="000000"/>
          <w:spacing w:val="0"/>
          <w:sz w:val="44"/>
          <w:szCs w:val="44"/>
          <w:shd w:val="clear" w:fill="FFFFFF"/>
        </w:rPr>
        <w:br w:type="textWrapping"/>
      </w:r>
      <w:r>
        <w:rPr>
          <w:rFonts w:ascii="方正黑体_GBK" w:hAnsi="方正黑体_GBK" w:eastAsia="方正黑体_GBK" w:cs="方正黑体_GBK"/>
          <w:i w:val="0"/>
          <w:iCs w:val="0"/>
          <w:caps w:val="0"/>
          <w:color w:val="000000"/>
          <w:spacing w:val="0"/>
          <w:sz w:val="32"/>
          <w:szCs w:val="32"/>
          <w:shd w:val="clear" w:fill="FFFFFF"/>
        </w:rPr>
        <w:t>附件</w:t>
      </w:r>
      <w:r>
        <w:rPr>
          <w:rFonts w:hint="default" w:ascii="Times New Roman" w:hAnsi="Times New Roman" w:cs="Times New Roman"/>
          <w:i w:val="0"/>
          <w:iCs w:val="0"/>
          <w:caps w:val="0"/>
          <w:color w:val="000000"/>
          <w:spacing w:val="0"/>
          <w:sz w:val="32"/>
          <w:szCs w:val="32"/>
          <w:shd w:val="clear" w:fill="FFFFFF"/>
        </w:rPr>
        <w:t>1</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default" w:ascii="Calibri" w:hAnsi="Calibri" w:cs="Calibri"/>
          <w:i w:val="0"/>
          <w:iCs w:val="0"/>
          <w:caps w:val="0"/>
          <w:color w:val="000000"/>
          <w:spacing w:val="0"/>
          <w:sz w:val="21"/>
          <w:szCs w:val="21"/>
        </w:rPr>
      </w:pPr>
      <w:r>
        <w:rPr>
          <w:rFonts w:hint="eastAsia" w:ascii="方正小标宋简体" w:hAnsi="方正小标宋简体" w:eastAsia="方正小标宋简体" w:cs="方正小标宋简体"/>
          <w:i w:val="0"/>
          <w:iCs w:val="0"/>
          <w:caps w:val="0"/>
          <w:color w:val="000000"/>
          <w:spacing w:val="0"/>
          <w:sz w:val="44"/>
          <w:szCs w:val="44"/>
          <w:shd w:val="clear" w:fill="FFFFFF"/>
        </w:rPr>
        <w:t>“高效办成一件事”</w:t>
      </w:r>
      <w:r>
        <w:rPr>
          <w:rFonts w:hint="default" w:ascii="Times New Roman" w:hAnsi="Times New Roman" w:cs="Times New Roman"/>
          <w:i w:val="0"/>
          <w:iCs w:val="0"/>
          <w:caps w:val="0"/>
          <w:color w:val="000000"/>
          <w:spacing w:val="0"/>
          <w:sz w:val="44"/>
          <w:szCs w:val="44"/>
          <w:shd w:val="clear" w:fill="FFFFFF"/>
        </w:rPr>
        <w:t>2024</w:t>
      </w:r>
      <w:r>
        <w:rPr>
          <w:rFonts w:hint="eastAsia" w:ascii="方正小标宋简体" w:hAnsi="方正小标宋简体" w:eastAsia="方正小标宋简体" w:cs="方正小标宋简体"/>
          <w:i w:val="0"/>
          <w:iCs w:val="0"/>
          <w:caps w:val="0"/>
          <w:color w:val="000000"/>
          <w:spacing w:val="0"/>
          <w:sz w:val="44"/>
          <w:szCs w:val="44"/>
          <w:shd w:val="clear" w:fill="FFFFFF"/>
        </w:rPr>
        <w:t>年度重点事项清单</w:t>
      </w:r>
    </w:p>
    <w:tbl>
      <w:tblPr>
        <w:tblStyle w:val="4"/>
        <w:tblW w:w="963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975"/>
        <w:gridCol w:w="810"/>
        <w:gridCol w:w="1590"/>
        <w:gridCol w:w="2730"/>
        <w:gridCol w:w="352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00" w:hRule="atLeast"/>
          <w:jc w:val="center"/>
        </w:trPr>
        <w:tc>
          <w:tcPr>
            <w:tcW w:w="97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Calibri" w:hAnsi="Calibri" w:cs="Calibri"/>
                <w:sz w:val="21"/>
                <w:szCs w:val="21"/>
              </w:rPr>
            </w:pPr>
            <w:r>
              <w:rPr>
                <w:rFonts w:hint="eastAsia" w:ascii="宋体" w:hAnsi="宋体" w:eastAsia="宋体" w:cs="宋体"/>
                <w:b/>
                <w:bCs/>
                <w:sz w:val="24"/>
                <w:szCs w:val="24"/>
              </w:rPr>
              <w:t>阶段</w:t>
            </w:r>
          </w:p>
        </w:tc>
        <w:tc>
          <w:tcPr>
            <w:tcW w:w="81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b/>
                <w:bCs/>
                <w:sz w:val="24"/>
                <w:szCs w:val="24"/>
              </w:rPr>
              <w:t>序号</w:t>
            </w:r>
          </w:p>
        </w:tc>
        <w:tc>
          <w:tcPr>
            <w:tcW w:w="159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b/>
                <w:bCs/>
                <w:sz w:val="24"/>
                <w:szCs w:val="24"/>
              </w:rPr>
              <w:t>“一件事”名称</w:t>
            </w:r>
          </w:p>
        </w:tc>
        <w:tc>
          <w:tcPr>
            <w:tcW w:w="273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b/>
                <w:bCs/>
                <w:sz w:val="24"/>
                <w:szCs w:val="24"/>
              </w:rPr>
              <w:t>具体事项</w:t>
            </w:r>
          </w:p>
        </w:tc>
        <w:tc>
          <w:tcPr>
            <w:tcW w:w="352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b/>
                <w:bCs/>
                <w:sz w:val="24"/>
                <w:szCs w:val="24"/>
              </w:rPr>
              <w:t>责任部门（</w:t>
            </w:r>
            <w:r>
              <w:rPr>
                <w:rFonts w:hint="default" w:ascii="Times New Roman" w:hAnsi="Times New Roman" w:eastAsia="宋体" w:cs="Times New Roman"/>
                <w:b/>
                <w:bCs/>
                <w:sz w:val="24"/>
                <w:szCs w:val="24"/>
              </w:rPr>
              <w:t>★</w:t>
            </w:r>
            <w:r>
              <w:rPr>
                <w:rFonts w:hint="eastAsia" w:ascii="宋体" w:hAnsi="宋体" w:eastAsia="宋体" w:cs="宋体"/>
                <w:b/>
                <w:bCs/>
                <w:sz w:val="24"/>
                <w:szCs w:val="24"/>
              </w:rPr>
              <w:t>为该“一件事”牵头部门）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05" w:hRule="atLeast"/>
          <w:jc w:val="center"/>
        </w:trPr>
        <w:tc>
          <w:tcPr>
            <w:tcW w:w="9630" w:type="dxa"/>
            <w:gridSpan w:val="5"/>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ascii="仿宋" w:hAnsi="仿宋" w:eastAsia="仿宋" w:cs="仿宋"/>
                <w:sz w:val="24"/>
                <w:szCs w:val="24"/>
              </w:rPr>
              <w:t>（一）企业事项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60" w:hRule="atLeast"/>
          <w:jc w:val="center"/>
        </w:trPr>
        <w:tc>
          <w:tcPr>
            <w:tcW w:w="975"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准入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准营</w:t>
            </w:r>
          </w:p>
        </w:tc>
        <w:tc>
          <w:tcPr>
            <w:tcW w:w="810"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宋体" w:cs="Times New Roman"/>
                <w:sz w:val="24"/>
                <w:szCs w:val="24"/>
              </w:rPr>
              <w:t>1</w:t>
            </w:r>
          </w:p>
        </w:tc>
        <w:tc>
          <w:tcPr>
            <w:tcW w:w="1590"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企业信息变更“一件事”</w:t>
            </w:r>
          </w:p>
        </w:tc>
        <w:tc>
          <w:tcPr>
            <w:tcW w:w="273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企业变更登记</w:t>
            </w:r>
          </w:p>
        </w:tc>
        <w:tc>
          <w:tcPr>
            <w:tcW w:w="352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宋体" w:cs="Times New Roman"/>
                <w:sz w:val="24"/>
                <w:szCs w:val="24"/>
              </w:rPr>
              <w:t>★</w:t>
            </w:r>
            <w:r>
              <w:rPr>
                <w:rFonts w:hint="eastAsia" w:ascii="宋体" w:hAnsi="宋体" w:eastAsia="宋体" w:cs="宋体"/>
                <w:sz w:val="24"/>
                <w:szCs w:val="24"/>
              </w:rPr>
              <w:t>自治区市场监督管理局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60" w:hRule="atLeast"/>
          <w:jc w:val="center"/>
        </w:trPr>
        <w:tc>
          <w:tcPr>
            <w:tcW w:w="97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810"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1590"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企业印章刻制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（法定代表人、名称变更）</w:t>
            </w:r>
          </w:p>
        </w:tc>
        <w:tc>
          <w:tcPr>
            <w:tcW w:w="35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自治区公安厅</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60" w:hRule="atLeast"/>
          <w:jc w:val="center"/>
        </w:trPr>
        <w:tc>
          <w:tcPr>
            <w:tcW w:w="97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810"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1590"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基本账户变更</w:t>
            </w:r>
          </w:p>
        </w:tc>
        <w:tc>
          <w:tcPr>
            <w:tcW w:w="35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中国人民银行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新疆维吾尔自治区分行</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60" w:hRule="atLeast"/>
          <w:jc w:val="center"/>
        </w:trPr>
        <w:tc>
          <w:tcPr>
            <w:tcW w:w="97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810"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1590"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社会保险登记变更</w:t>
            </w:r>
          </w:p>
        </w:tc>
        <w:tc>
          <w:tcPr>
            <w:tcW w:w="35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自治区人力资源和社会保障厅</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60" w:hRule="atLeast"/>
          <w:jc w:val="center"/>
        </w:trPr>
        <w:tc>
          <w:tcPr>
            <w:tcW w:w="97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810"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1590"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基本医疗保险登记变更</w:t>
            </w:r>
          </w:p>
        </w:tc>
        <w:tc>
          <w:tcPr>
            <w:tcW w:w="35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自治区医疗保障局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60" w:hRule="atLeast"/>
          <w:jc w:val="center"/>
        </w:trPr>
        <w:tc>
          <w:tcPr>
            <w:tcW w:w="97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810"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1590"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住房公积金企业缴存登记变更</w:t>
            </w:r>
          </w:p>
        </w:tc>
        <w:tc>
          <w:tcPr>
            <w:tcW w:w="35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自治区住房和城乡建设厅</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60" w:hRule="atLeast"/>
          <w:jc w:val="center"/>
        </w:trPr>
        <w:tc>
          <w:tcPr>
            <w:tcW w:w="97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810"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1590"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税务登记信息变更</w:t>
            </w:r>
          </w:p>
        </w:tc>
        <w:tc>
          <w:tcPr>
            <w:tcW w:w="35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新疆税务局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70" w:hRule="atLeast"/>
          <w:jc w:val="center"/>
        </w:trPr>
        <w:tc>
          <w:tcPr>
            <w:tcW w:w="97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810"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宋体" w:cs="Times New Roman"/>
                <w:sz w:val="24"/>
                <w:szCs w:val="24"/>
              </w:rPr>
              <w:t>2</w:t>
            </w:r>
          </w:p>
        </w:tc>
        <w:tc>
          <w:tcPr>
            <w:tcW w:w="1590"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开办运输企业“一件事”</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企业营业执照信息核验</w:t>
            </w:r>
          </w:p>
        </w:tc>
        <w:tc>
          <w:tcPr>
            <w:tcW w:w="35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自治区市场监督管理局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621" w:hRule="atLeast"/>
          <w:jc w:val="center"/>
        </w:trPr>
        <w:tc>
          <w:tcPr>
            <w:tcW w:w="97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81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159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道路货物运输经营许可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（危险货物道路运输经营、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使用总质量</w:t>
            </w:r>
            <w:r>
              <w:rPr>
                <w:rFonts w:hint="default" w:ascii="Times New Roman" w:hAnsi="Times New Roman" w:eastAsia="宋体" w:cs="Times New Roman"/>
                <w:sz w:val="24"/>
                <w:szCs w:val="24"/>
              </w:rPr>
              <w:t> 4500 </w:t>
            </w:r>
            <w:r>
              <w:rPr>
                <w:rFonts w:hint="eastAsia" w:ascii="宋体" w:hAnsi="宋体" w:eastAsia="宋体" w:cs="宋体"/>
                <w:sz w:val="24"/>
                <w:szCs w:val="24"/>
              </w:rPr>
              <w:t>千克及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以下普通货运车辆从事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普通货运经营的除外）</w:t>
            </w:r>
          </w:p>
        </w:tc>
        <w:tc>
          <w:tcPr>
            <w:tcW w:w="3525"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宋体" w:cs="Times New Roman"/>
                <w:sz w:val="24"/>
                <w:szCs w:val="24"/>
              </w:rPr>
              <w:t>★</w:t>
            </w:r>
            <w:r>
              <w:rPr>
                <w:rFonts w:hint="eastAsia" w:ascii="宋体" w:hAnsi="宋体" w:eastAsia="宋体" w:cs="宋体"/>
                <w:sz w:val="24"/>
                <w:szCs w:val="24"/>
              </w:rPr>
              <w:t>自治区交通运输厅</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85" w:hRule="atLeast"/>
          <w:jc w:val="center"/>
        </w:trPr>
        <w:tc>
          <w:tcPr>
            <w:tcW w:w="97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81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159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普通道路货物运输车辆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《道路运输证》办理</w:t>
            </w:r>
          </w:p>
        </w:tc>
        <w:tc>
          <w:tcPr>
            <w:tcW w:w="352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60" w:hRule="atLeast"/>
          <w:jc w:val="center"/>
        </w:trPr>
        <w:tc>
          <w:tcPr>
            <w:tcW w:w="97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810"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宋体" w:cs="Times New Roman"/>
                <w:sz w:val="24"/>
                <w:szCs w:val="24"/>
              </w:rPr>
              <w:t>3</w:t>
            </w:r>
          </w:p>
        </w:tc>
        <w:tc>
          <w:tcPr>
            <w:tcW w:w="1590"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开办餐饮店“一件事”</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企业营业执照信息核验</w:t>
            </w:r>
          </w:p>
        </w:tc>
        <w:tc>
          <w:tcPr>
            <w:tcW w:w="3525"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宋体" w:cs="Times New Roman"/>
                <w:sz w:val="24"/>
                <w:szCs w:val="24"/>
              </w:rPr>
              <w:t>★</w:t>
            </w:r>
            <w:r>
              <w:rPr>
                <w:rFonts w:hint="eastAsia" w:ascii="宋体" w:hAnsi="宋体" w:eastAsia="宋体" w:cs="宋体"/>
                <w:sz w:val="24"/>
                <w:szCs w:val="24"/>
              </w:rPr>
              <w:t>自治区市场监督管理局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60" w:hRule="atLeast"/>
          <w:jc w:val="center"/>
        </w:trPr>
        <w:tc>
          <w:tcPr>
            <w:tcW w:w="97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81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159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食品经营许可新办</w:t>
            </w:r>
          </w:p>
        </w:tc>
        <w:tc>
          <w:tcPr>
            <w:tcW w:w="352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60" w:hRule="atLeast"/>
          <w:jc w:val="center"/>
        </w:trPr>
        <w:tc>
          <w:tcPr>
            <w:tcW w:w="97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81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159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小餐饮店食品经营登记</w:t>
            </w:r>
          </w:p>
        </w:tc>
        <w:tc>
          <w:tcPr>
            <w:tcW w:w="352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60" w:hRule="atLeast"/>
          <w:jc w:val="center"/>
        </w:trPr>
        <w:tc>
          <w:tcPr>
            <w:tcW w:w="97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81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159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户外招牌设施设置规范管理</w:t>
            </w:r>
          </w:p>
        </w:tc>
        <w:tc>
          <w:tcPr>
            <w:tcW w:w="35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自治区住房和城乡建设厅</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60" w:hRule="atLeast"/>
          <w:jc w:val="center"/>
        </w:trPr>
        <w:tc>
          <w:tcPr>
            <w:tcW w:w="97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81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159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公众聚集场所投入使用、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营业前消防安全检查</w:t>
            </w:r>
          </w:p>
        </w:tc>
        <w:tc>
          <w:tcPr>
            <w:tcW w:w="35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新疆消防救援总队</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396" w:hRule="atLeast"/>
          <w:jc w:val="center"/>
        </w:trPr>
        <w:tc>
          <w:tcPr>
            <w:tcW w:w="975"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经营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发展</w:t>
            </w:r>
          </w:p>
        </w:tc>
        <w:tc>
          <w:tcPr>
            <w:tcW w:w="810"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宋体" w:cs="Times New Roman"/>
                <w:sz w:val="24"/>
                <w:szCs w:val="24"/>
              </w:rPr>
              <w:t>4</w:t>
            </w:r>
          </w:p>
        </w:tc>
        <w:tc>
          <w:tcPr>
            <w:tcW w:w="1590"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水电气网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联合报装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“一件事”</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水电气网接入外线工程联合审批</w:t>
            </w:r>
          </w:p>
        </w:tc>
        <w:tc>
          <w:tcPr>
            <w:tcW w:w="35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宋体" w:cs="Times New Roman"/>
                <w:sz w:val="24"/>
                <w:szCs w:val="24"/>
              </w:rPr>
              <w:t>★</w:t>
            </w:r>
            <w:r>
              <w:rPr>
                <w:rFonts w:hint="eastAsia" w:ascii="宋体" w:hAnsi="宋体" w:eastAsia="宋体" w:cs="宋体"/>
                <w:sz w:val="24"/>
                <w:szCs w:val="24"/>
              </w:rPr>
              <w:t>自治区住房和城乡建设厅、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自治区自然资源厅、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自治区交通运输厅、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城市绿化行政主管部门、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林业行政主管部门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60" w:hRule="atLeast"/>
          <w:jc w:val="center"/>
        </w:trPr>
        <w:tc>
          <w:tcPr>
            <w:tcW w:w="97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81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159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供电报装</w:t>
            </w:r>
          </w:p>
        </w:tc>
        <w:tc>
          <w:tcPr>
            <w:tcW w:w="35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自治区能源主管部门及供电公司</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60" w:hRule="atLeast"/>
          <w:jc w:val="center"/>
        </w:trPr>
        <w:tc>
          <w:tcPr>
            <w:tcW w:w="97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81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159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燃气报装</w:t>
            </w:r>
          </w:p>
        </w:tc>
        <w:tc>
          <w:tcPr>
            <w:tcW w:w="35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燃气经营企业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60" w:hRule="atLeast"/>
          <w:jc w:val="center"/>
        </w:trPr>
        <w:tc>
          <w:tcPr>
            <w:tcW w:w="97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81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159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供排水报装</w:t>
            </w:r>
          </w:p>
        </w:tc>
        <w:tc>
          <w:tcPr>
            <w:tcW w:w="35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供排水企业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60" w:hRule="atLeast"/>
          <w:jc w:val="center"/>
        </w:trPr>
        <w:tc>
          <w:tcPr>
            <w:tcW w:w="97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81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159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通信报装</w:t>
            </w:r>
          </w:p>
        </w:tc>
        <w:tc>
          <w:tcPr>
            <w:tcW w:w="35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新疆通信管理局及网络运营商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306" w:hRule="atLeast"/>
          <w:jc w:val="center"/>
        </w:trPr>
        <w:tc>
          <w:tcPr>
            <w:tcW w:w="97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810"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宋体" w:cs="Times New Roman"/>
                <w:sz w:val="24"/>
                <w:szCs w:val="24"/>
              </w:rPr>
              <w:t>5</w:t>
            </w:r>
          </w:p>
        </w:tc>
        <w:tc>
          <w:tcPr>
            <w:tcW w:w="1590"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信用修复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“一件事”</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统筹在“信用中国”网站及地方信用平台网站建立相关失信信息信用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修复指引</w:t>
            </w:r>
            <w:r>
              <w:rPr>
                <w:rFonts w:hint="default" w:ascii="Times New Roman" w:hAnsi="Times New Roman" w:eastAsia="宋体" w:cs="Times New Roman"/>
                <w:sz w:val="24"/>
                <w:szCs w:val="24"/>
              </w:rPr>
              <w:t>-</w:t>
            </w:r>
            <w:r>
              <w:rPr>
                <w:rFonts w:hint="eastAsia" w:ascii="宋体" w:hAnsi="宋体" w:eastAsia="宋体" w:cs="宋体"/>
                <w:sz w:val="24"/>
                <w:szCs w:val="24"/>
              </w:rPr>
              <w:t>国家企业信用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信息公示系统</w:t>
            </w:r>
          </w:p>
        </w:tc>
        <w:tc>
          <w:tcPr>
            <w:tcW w:w="35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宋体" w:cs="Times New Roman"/>
                <w:sz w:val="24"/>
                <w:szCs w:val="24"/>
              </w:rPr>
              <w:t>★</w:t>
            </w:r>
            <w:r>
              <w:rPr>
                <w:rFonts w:hint="eastAsia" w:ascii="宋体" w:hAnsi="宋体" w:eastAsia="宋体" w:cs="宋体"/>
                <w:sz w:val="24"/>
                <w:szCs w:val="24"/>
              </w:rPr>
              <w:t>自治区发展和改革委员会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065" w:hRule="atLeast"/>
          <w:jc w:val="center"/>
        </w:trPr>
        <w:tc>
          <w:tcPr>
            <w:tcW w:w="97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81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159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在国家企业信用信息公示系统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宋体" w:cs="Times New Roman"/>
                <w:sz w:val="24"/>
                <w:szCs w:val="24"/>
              </w:rPr>
              <w:t>(</w:t>
            </w:r>
            <w:r>
              <w:rPr>
                <w:rFonts w:hint="eastAsia" w:ascii="宋体" w:hAnsi="宋体" w:eastAsia="宋体" w:cs="宋体"/>
                <w:sz w:val="24"/>
                <w:szCs w:val="24"/>
              </w:rPr>
              <w:t>新疆）建立相关失信信息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信用修复指引</w:t>
            </w:r>
          </w:p>
        </w:tc>
        <w:tc>
          <w:tcPr>
            <w:tcW w:w="35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宋体" w:cs="Times New Roman"/>
                <w:sz w:val="24"/>
                <w:szCs w:val="24"/>
              </w:rPr>
              <w:t>★</w:t>
            </w:r>
            <w:r>
              <w:rPr>
                <w:rFonts w:hint="eastAsia" w:ascii="宋体" w:hAnsi="宋体" w:eastAsia="宋体" w:cs="宋体"/>
                <w:sz w:val="24"/>
                <w:szCs w:val="24"/>
              </w:rPr>
              <w:t>自治区市场监督管理局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60" w:hRule="atLeast"/>
          <w:jc w:val="center"/>
        </w:trPr>
        <w:tc>
          <w:tcPr>
            <w:tcW w:w="97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81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159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行政处罚信息信用修复</w:t>
            </w:r>
          </w:p>
        </w:tc>
        <w:tc>
          <w:tcPr>
            <w:tcW w:w="35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自治区市场监督管理局、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自治区发展和改革委员会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60" w:hRule="atLeast"/>
          <w:jc w:val="center"/>
        </w:trPr>
        <w:tc>
          <w:tcPr>
            <w:tcW w:w="97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81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159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异常经营名录信息修复</w:t>
            </w:r>
          </w:p>
        </w:tc>
        <w:tc>
          <w:tcPr>
            <w:tcW w:w="35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自治区市场监督管理局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60" w:hRule="atLeast"/>
          <w:jc w:val="center"/>
        </w:trPr>
        <w:tc>
          <w:tcPr>
            <w:tcW w:w="97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81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159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严重失信主体名单信息修复</w:t>
            </w:r>
          </w:p>
        </w:tc>
        <w:tc>
          <w:tcPr>
            <w:tcW w:w="35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自治区市场监督管理局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00" w:hRule="atLeast"/>
          <w:jc w:val="center"/>
        </w:trPr>
        <w:tc>
          <w:tcPr>
            <w:tcW w:w="97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810"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eastAsia="宋体" w:cs="Calibri"/>
                <w:sz w:val="21"/>
                <w:szCs w:val="21"/>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eastAsia="宋体" w:cs="Calibri"/>
                <w:sz w:val="21"/>
                <w:szCs w:val="21"/>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eastAsia="宋体" w:cs="Calibri"/>
                <w:sz w:val="21"/>
                <w:szCs w:val="21"/>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eastAsia="宋体" w:cs="Calibri"/>
                <w:sz w:val="21"/>
                <w:szCs w:val="21"/>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eastAsia="宋体" w:cs="Calibri"/>
                <w:sz w:val="21"/>
                <w:szCs w:val="21"/>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eastAsia="宋体" w:cs="Calibri"/>
                <w:sz w:val="21"/>
                <w:szCs w:val="21"/>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eastAsia="宋体" w:cs="Calibri"/>
                <w:sz w:val="21"/>
                <w:szCs w:val="21"/>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eastAsia="宋体" w:cs="Calibri"/>
                <w:sz w:val="21"/>
                <w:szCs w:val="21"/>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eastAsia="宋体" w:cs="Calibri"/>
                <w:sz w:val="21"/>
                <w:szCs w:val="21"/>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eastAsia="宋体" w:cs="Calibri"/>
                <w:sz w:val="21"/>
                <w:szCs w:val="21"/>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eastAsia="宋体" w:cs="Calibri"/>
                <w:sz w:val="21"/>
                <w:szCs w:val="21"/>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eastAsia="宋体" w:cs="Calibri"/>
                <w:sz w:val="21"/>
                <w:szCs w:val="21"/>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eastAsia="宋体" w:cs="Calibri"/>
                <w:sz w:val="21"/>
                <w:szCs w:val="21"/>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eastAsia="宋体" w:cs="Calibri"/>
                <w:sz w:val="21"/>
                <w:szCs w:val="21"/>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eastAsia="宋体" w:cs="Calibri"/>
                <w:sz w:val="21"/>
                <w:szCs w:val="21"/>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eastAsia="宋体" w:cs="Calibri"/>
                <w:sz w:val="21"/>
                <w:szCs w:val="21"/>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eastAsia="宋体" w:cs="Calibri"/>
                <w:sz w:val="21"/>
                <w:szCs w:val="21"/>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eastAsia="宋体" w:cs="Calibri"/>
                <w:sz w:val="21"/>
                <w:szCs w:val="21"/>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eastAsia="宋体" w:cs="Calibri"/>
                <w:sz w:val="21"/>
                <w:szCs w:val="21"/>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eastAsia="宋体" w:cs="Calibri"/>
                <w:sz w:val="21"/>
                <w:szCs w:val="21"/>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eastAsia="宋体" w:cs="Calibri"/>
                <w:sz w:val="21"/>
                <w:szCs w:val="21"/>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宋体" w:cs="Times New Roman"/>
                <w:sz w:val="24"/>
                <w:szCs w:val="24"/>
              </w:rPr>
              <w:t>6</w:t>
            </w:r>
          </w:p>
        </w:tc>
        <w:tc>
          <w:tcPr>
            <w:tcW w:w="1590"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eastAsia="宋体" w:cs="Calibri"/>
                <w:sz w:val="21"/>
                <w:szCs w:val="21"/>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企业上市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合法合规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信息核查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“一件事”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eastAsia="宋体" w:cs="Calibri"/>
                <w:sz w:val="21"/>
                <w:szCs w:val="21"/>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eastAsia="宋体" w:cs="Calibri"/>
                <w:sz w:val="21"/>
                <w:szCs w:val="21"/>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eastAsia="宋体" w:cs="Calibri"/>
                <w:sz w:val="21"/>
                <w:szCs w:val="21"/>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eastAsia="宋体" w:cs="Calibri"/>
                <w:sz w:val="21"/>
                <w:szCs w:val="21"/>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eastAsia="宋体" w:cs="Calibri"/>
                <w:sz w:val="21"/>
                <w:szCs w:val="21"/>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eastAsia="宋体" w:cs="Calibri"/>
                <w:sz w:val="21"/>
                <w:szCs w:val="21"/>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eastAsia="宋体" w:cs="Calibri"/>
                <w:sz w:val="21"/>
                <w:szCs w:val="21"/>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eastAsia="宋体" w:cs="Calibri"/>
                <w:sz w:val="21"/>
                <w:szCs w:val="21"/>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eastAsia="宋体" w:cs="Calibri"/>
                <w:sz w:val="21"/>
                <w:szCs w:val="21"/>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eastAsia="宋体" w:cs="Calibri"/>
                <w:sz w:val="21"/>
                <w:szCs w:val="21"/>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eastAsia="宋体" w:cs="Calibri"/>
                <w:sz w:val="21"/>
                <w:szCs w:val="21"/>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eastAsia="宋体" w:cs="Calibri"/>
                <w:sz w:val="21"/>
                <w:szCs w:val="21"/>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eastAsia="宋体" w:cs="Calibri"/>
                <w:sz w:val="21"/>
                <w:szCs w:val="21"/>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eastAsia="宋体" w:cs="Calibri"/>
                <w:sz w:val="21"/>
                <w:szCs w:val="21"/>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eastAsia="宋体" w:cs="Calibri"/>
                <w:sz w:val="21"/>
                <w:szCs w:val="21"/>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eastAsia="宋体" w:cs="Calibri"/>
                <w:sz w:val="21"/>
                <w:szCs w:val="21"/>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企业上市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合法合规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信息核查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“一件事”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eastAsia="宋体" w:cs="Calibri"/>
                <w:sz w:val="21"/>
                <w:szCs w:val="21"/>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eastAsia="宋体" w:cs="Calibri"/>
                <w:sz w:val="21"/>
                <w:szCs w:val="21"/>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eastAsia="宋体" w:cs="Calibri"/>
                <w:sz w:val="21"/>
                <w:szCs w:val="21"/>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eastAsia="宋体" w:cs="Calibri"/>
                <w:sz w:val="21"/>
                <w:szCs w:val="21"/>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eastAsia="宋体" w:cs="Calibri"/>
                <w:sz w:val="21"/>
                <w:szCs w:val="21"/>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eastAsia="宋体" w:cs="Calibri"/>
                <w:sz w:val="21"/>
                <w:szCs w:val="21"/>
              </w:rPr>
              <w:t> </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统筹相关申请核查信息的受理、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分派、汇总和结果送达</w:t>
            </w:r>
          </w:p>
        </w:tc>
        <w:tc>
          <w:tcPr>
            <w:tcW w:w="35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宋体" w:cs="Times New Roman"/>
                <w:sz w:val="24"/>
                <w:szCs w:val="24"/>
              </w:rPr>
              <w:t>★</w:t>
            </w:r>
            <w:r>
              <w:rPr>
                <w:rFonts w:hint="eastAsia" w:ascii="宋体" w:hAnsi="宋体" w:eastAsia="宋体" w:cs="宋体"/>
                <w:sz w:val="24"/>
                <w:szCs w:val="24"/>
              </w:rPr>
              <w:t>自治区发展和改革委员会、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自治区地方金融管理局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55" w:hRule="atLeast"/>
          <w:jc w:val="center"/>
        </w:trPr>
        <w:tc>
          <w:tcPr>
            <w:tcW w:w="97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81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159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企业城市管理领域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无违法违规信息核查</w:t>
            </w:r>
          </w:p>
        </w:tc>
        <w:tc>
          <w:tcPr>
            <w:tcW w:w="35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自治区住房和城乡建设厅</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55" w:hRule="atLeast"/>
          <w:jc w:val="center"/>
        </w:trPr>
        <w:tc>
          <w:tcPr>
            <w:tcW w:w="97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81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159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企业规划自然资源领域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无违法违规信息核查</w:t>
            </w:r>
          </w:p>
        </w:tc>
        <w:tc>
          <w:tcPr>
            <w:tcW w:w="35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自治区自然资源厅</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60" w:hRule="atLeast"/>
          <w:jc w:val="center"/>
        </w:trPr>
        <w:tc>
          <w:tcPr>
            <w:tcW w:w="97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81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159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企业违反劳动保障法律法规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信息核查</w:t>
            </w:r>
          </w:p>
        </w:tc>
        <w:tc>
          <w:tcPr>
            <w:tcW w:w="35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自治区人力资源和社会保障厅</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60" w:hRule="atLeast"/>
          <w:jc w:val="center"/>
        </w:trPr>
        <w:tc>
          <w:tcPr>
            <w:tcW w:w="97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81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159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企业生态环境保护领域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无违法违规信息核查</w:t>
            </w:r>
          </w:p>
        </w:tc>
        <w:tc>
          <w:tcPr>
            <w:tcW w:w="35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自治区生态环境厅</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60" w:hRule="atLeast"/>
          <w:jc w:val="center"/>
        </w:trPr>
        <w:tc>
          <w:tcPr>
            <w:tcW w:w="97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81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159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企业市场监管领域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无违法违规信息核查</w:t>
            </w:r>
          </w:p>
        </w:tc>
        <w:tc>
          <w:tcPr>
            <w:tcW w:w="35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自治区市场监督管理局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60" w:hRule="atLeast"/>
          <w:jc w:val="center"/>
        </w:trPr>
        <w:tc>
          <w:tcPr>
            <w:tcW w:w="97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81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159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企业卫生和人员健康领域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无违法违规信息核查</w:t>
            </w:r>
          </w:p>
        </w:tc>
        <w:tc>
          <w:tcPr>
            <w:tcW w:w="35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自治区卫生健康委员会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60" w:hRule="atLeast"/>
          <w:jc w:val="center"/>
        </w:trPr>
        <w:tc>
          <w:tcPr>
            <w:tcW w:w="97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81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159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企业文化和旅游市场领域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无违法违规信息核查</w:t>
            </w:r>
          </w:p>
        </w:tc>
        <w:tc>
          <w:tcPr>
            <w:tcW w:w="35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自治区文化和旅游厅</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60" w:hRule="atLeast"/>
          <w:jc w:val="center"/>
        </w:trPr>
        <w:tc>
          <w:tcPr>
            <w:tcW w:w="97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81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159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企业应急管理领域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无违法违规信息核查</w:t>
            </w:r>
          </w:p>
        </w:tc>
        <w:tc>
          <w:tcPr>
            <w:tcW w:w="35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自治区应急管理厅</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60" w:hRule="atLeast"/>
          <w:jc w:val="center"/>
        </w:trPr>
        <w:tc>
          <w:tcPr>
            <w:tcW w:w="97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81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159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企业人员住房公积金缴存信息核查</w:t>
            </w:r>
          </w:p>
        </w:tc>
        <w:tc>
          <w:tcPr>
            <w:tcW w:w="35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自治区住房和城乡建设厅</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60" w:hRule="atLeast"/>
          <w:jc w:val="center"/>
        </w:trPr>
        <w:tc>
          <w:tcPr>
            <w:tcW w:w="97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81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159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企业科技领域无科研失信信息核查</w:t>
            </w:r>
          </w:p>
        </w:tc>
        <w:tc>
          <w:tcPr>
            <w:tcW w:w="35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自治区科学技术厅</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60" w:hRule="atLeast"/>
          <w:jc w:val="center"/>
        </w:trPr>
        <w:tc>
          <w:tcPr>
            <w:tcW w:w="97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81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159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企业交通运输领域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无违法违规信息核查</w:t>
            </w:r>
          </w:p>
        </w:tc>
        <w:tc>
          <w:tcPr>
            <w:tcW w:w="35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自治区交通运输厅</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60" w:hRule="atLeast"/>
          <w:jc w:val="center"/>
        </w:trPr>
        <w:tc>
          <w:tcPr>
            <w:tcW w:w="97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81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159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涉税信息查询管理</w:t>
            </w:r>
          </w:p>
        </w:tc>
        <w:tc>
          <w:tcPr>
            <w:tcW w:w="35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新疆税务局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60" w:hRule="atLeast"/>
          <w:jc w:val="center"/>
        </w:trPr>
        <w:tc>
          <w:tcPr>
            <w:tcW w:w="97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81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159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企业知识产权领域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无违法违规信息核查</w:t>
            </w:r>
          </w:p>
        </w:tc>
        <w:tc>
          <w:tcPr>
            <w:tcW w:w="35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自治区市场监督管理局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60" w:hRule="atLeast"/>
          <w:jc w:val="center"/>
        </w:trPr>
        <w:tc>
          <w:tcPr>
            <w:tcW w:w="97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81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159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企业水资源保护领域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无违法违规信息核查</w:t>
            </w:r>
          </w:p>
        </w:tc>
        <w:tc>
          <w:tcPr>
            <w:tcW w:w="35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自治区水利厅</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60" w:hRule="atLeast"/>
          <w:jc w:val="center"/>
        </w:trPr>
        <w:tc>
          <w:tcPr>
            <w:tcW w:w="97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81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159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企业消防安全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无违法违规信息核查</w:t>
            </w:r>
          </w:p>
        </w:tc>
        <w:tc>
          <w:tcPr>
            <w:tcW w:w="35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新疆消防救援总队</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60" w:hRule="atLeast"/>
          <w:jc w:val="center"/>
        </w:trPr>
        <w:tc>
          <w:tcPr>
            <w:tcW w:w="97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81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159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电信监管领域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无行政处罚信息核查</w:t>
            </w:r>
          </w:p>
        </w:tc>
        <w:tc>
          <w:tcPr>
            <w:tcW w:w="35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新疆通信管理局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55" w:hRule="atLeast"/>
          <w:jc w:val="center"/>
        </w:trPr>
        <w:tc>
          <w:tcPr>
            <w:tcW w:w="975"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注销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退出</w:t>
            </w:r>
          </w:p>
        </w:tc>
        <w:tc>
          <w:tcPr>
            <w:tcW w:w="810"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宋体" w:cs="Times New Roman"/>
                <w:sz w:val="24"/>
                <w:szCs w:val="24"/>
              </w:rPr>
              <w:t>7</w:t>
            </w:r>
          </w:p>
        </w:tc>
        <w:tc>
          <w:tcPr>
            <w:tcW w:w="1590"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eastAsia="宋体" w:cs="Calibri"/>
                <w:sz w:val="21"/>
                <w:szCs w:val="21"/>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eastAsia="宋体" w:cs="Calibri"/>
                <w:sz w:val="21"/>
                <w:szCs w:val="21"/>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eastAsia="宋体" w:cs="Calibri"/>
                <w:sz w:val="21"/>
                <w:szCs w:val="21"/>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企业破产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信息核查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“一件事”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eastAsia="宋体" w:cs="Calibri"/>
                <w:sz w:val="21"/>
                <w:szCs w:val="21"/>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eastAsia="宋体" w:cs="Calibri"/>
                <w:sz w:val="21"/>
                <w:szCs w:val="21"/>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eastAsia="宋体" w:cs="Calibri"/>
                <w:sz w:val="21"/>
                <w:szCs w:val="21"/>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eastAsia="宋体" w:cs="Calibri"/>
                <w:sz w:val="21"/>
                <w:szCs w:val="21"/>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eastAsia="宋体" w:cs="Calibri"/>
                <w:sz w:val="21"/>
                <w:szCs w:val="21"/>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eastAsia="宋体" w:cs="Calibri"/>
                <w:sz w:val="21"/>
                <w:szCs w:val="21"/>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企业破产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信息核查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“一件事”</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统筹相关申请核查信息的受理、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分派、汇总和结果送达</w:t>
            </w:r>
          </w:p>
        </w:tc>
        <w:tc>
          <w:tcPr>
            <w:tcW w:w="35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宋体" w:cs="Times New Roman"/>
                <w:sz w:val="24"/>
                <w:szCs w:val="24"/>
              </w:rPr>
              <w:t>★</w:t>
            </w:r>
            <w:r>
              <w:rPr>
                <w:rFonts w:hint="eastAsia" w:ascii="宋体" w:hAnsi="宋体" w:eastAsia="宋体" w:cs="宋体"/>
                <w:sz w:val="24"/>
                <w:szCs w:val="24"/>
              </w:rPr>
              <w:t>自治区高级人民法院</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60" w:hRule="atLeast"/>
          <w:jc w:val="center"/>
        </w:trPr>
        <w:tc>
          <w:tcPr>
            <w:tcW w:w="97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81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159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企业车辆信息核查</w:t>
            </w:r>
          </w:p>
        </w:tc>
        <w:tc>
          <w:tcPr>
            <w:tcW w:w="35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自治区公安厅</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60" w:hRule="atLeast"/>
          <w:jc w:val="center"/>
        </w:trPr>
        <w:tc>
          <w:tcPr>
            <w:tcW w:w="97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81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159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企业不动产登记信息核查</w:t>
            </w:r>
          </w:p>
        </w:tc>
        <w:tc>
          <w:tcPr>
            <w:tcW w:w="35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自治区自然资源厅</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60" w:hRule="atLeast"/>
          <w:jc w:val="center"/>
        </w:trPr>
        <w:tc>
          <w:tcPr>
            <w:tcW w:w="97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81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159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社会保险参保缴费记录核查</w:t>
            </w:r>
          </w:p>
        </w:tc>
        <w:tc>
          <w:tcPr>
            <w:tcW w:w="35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自治区人力资源和社会保障厅、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新疆税务局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60" w:hRule="atLeast"/>
          <w:jc w:val="center"/>
        </w:trPr>
        <w:tc>
          <w:tcPr>
            <w:tcW w:w="97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81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159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企业注册登记等基本信息核查</w:t>
            </w:r>
          </w:p>
        </w:tc>
        <w:tc>
          <w:tcPr>
            <w:tcW w:w="35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自治区市场监督管理局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60" w:hRule="atLeast"/>
          <w:jc w:val="center"/>
        </w:trPr>
        <w:tc>
          <w:tcPr>
            <w:tcW w:w="97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81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159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企业人员医保缴存信息核查</w:t>
            </w:r>
          </w:p>
        </w:tc>
        <w:tc>
          <w:tcPr>
            <w:tcW w:w="35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自治区医疗保障局、新疆税务局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75" w:hRule="atLeast"/>
          <w:jc w:val="center"/>
        </w:trPr>
        <w:tc>
          <w:tcPr>
            <w:tcW w:w="97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81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159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企业房产信息核查</w:t>
            </w:r>
          </w:p>
        </w:tc>
        <w:tc>
          <w:tcPr>
            <w:tcW w:w="3525"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自治区住房和城乡建设厅</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60" w:hRule="atLeast"/>
          <w:jc w:val="center"/>
        </w:trPr>
        <w:tc>
          <w:tcPr>
            <w:tcW w:w="97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81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159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企业人员住房公积金缴存信息核查</w:t>
            </w:r>
          </w:p>
        </w:tc>
        <w:tc>
          <w:tcPr>
            <w:tcW w:w="352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60" w:hRule="atLeast"/>
          <w:jc w:val="center"/>
        </w:trPr>
        <w:tc>
          <w:tcPr>
            <w:tcW w:w="97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81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159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企业纳税缴税情况信息核查</w:t>
            </w:r>
          </w:p>
        </w:tc>
        <w:tc>
          <w:tcPr>
            <w:tcW w:w="35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新疆税务局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60" w:hRule="atLeast"/>
          <w:jc w:val="center"/>
        </w:trPr>
        <w:tc>
          <w:tcPr>
            <w:tcW w:w="97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81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159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企业海关税款缴纳、货物通关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信息核查</w:t>
            </w:r>
          </w:p>
        </w:tc>
        <w:tc>
          <w:tcPr>
            <w:tcW w:w="35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乌鲁木齐海关</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60" w:hRule="atLeast"/>
          <w:jc w:val="center"/>
        </w:trPr>
        <w:tc>
          <w:tcPr>
            <w:tcW w:w="97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810"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宋体" w:cs="Times New Roman"/>
                <w:sz w:val="24"/>
                <w:szCs w:val="24"/>
              </w:rPr>
              <w:t>8</w:t>
            </w:r>
          </w:p>
        </w:tc>
        <w:tc>
          <w:tcPr>
            <w:tcW w:w="1590"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企业注销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登记“一件事”</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注销税务登记</w:t>
            </w:r>
          </w:p>
        </w:tc>
        <w:tc>
          <w:tcPr>
            <w:tcW w:w="35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新疆税务局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60" w:hRule="atLeast"/>
          <w:jc w:val="center"/>
        </w:trPr>
        <w:tc>
          <w:tcPr>
            <w:tcW w:w="97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81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159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企业注销登记</w:t>
            </w:r>
          </w:p>
        </w:tc>
        <w:tc>
          <w:tcPr>
            <w:tcW w:w="35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宋体" w:cs="Times New Roman"/>
                <w:sz w:val="24"/>
                <w:szCs w:val="24"/>
              </w:rPr>
              <w:t>★</w:t>
            </w:r>
            <w:r>
              <w:rPr>
                <w:rFonts w:hint="eastAsia" w:ascii="宋体" w:hAnsi="宋体" w:eastAsia="宋体" w:cs="宋体"/>
                <w:sz w:val="24"/>
                <w:szCs w:val="24"/>
              </w:rPr>
              <w:t>自治区市场监督管理局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60" w:hRule="atLeast"/>
          <w:jc w:val="center"/>
        </w:trPr>
        <w:tc>
          <w:tcPr>
            <w:tcW w:w="97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81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159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海关报关单位备案注销</w:t>
            </w:r>
          </w:p>
        </w:tc>
        <w:tc>
          <w:tcPr>
            <w:tcW w:w="35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乌鲁木齐海关</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60" w:hRule="atLeast"/>
          <w:jc w:val="center"/>
        </w:trPr>
        <w:tc>
          <w:tcPr>
            <w:tcW w:w="97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81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159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注销社会保险登记</w:t>
            </w:r>
          </w:p>
        </w:tc>
        <w:tc>
          <w:tcPr>
            <w:tcW w:w="35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自治区人力资源和社会保障厅</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60" w:hRule="atLeast"/>
          <w:jc w:val="center"/>
        </w:trPr>
        <w:tc>
          <w:tcPr>
            <w:tcW w:w="97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81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159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医保登记注销</w:t>
            </w:r>
          </w:p>
        </w:tc>
        <w:tc>
          <w:tcPr>
            <w:tcW w:w="35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自治区医疗保障局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60" w:hRule="atLeast"/>
          <w:jc w:val="center"/>
        </w:trPr>
        <w:tc>
          <w:tcPr>
            <w:tcW w:w="97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81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159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银行账户注销</w:t>
            </w:r>
          </w:p>
        </w:tc>
        <w:tc>
          <w:tcPr>
            <w:tcW w:w="35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中国人民银行新疆维吾尔自治区分行</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60" w:hRule="atLeast"/>
          <w:jc w:val="center"/>
        </w:trPr>
        <w:tc>
          <w:tcPr>
            <w:tcW w:w="97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81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159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企业印章注销</w:t>
            </w:r>
          </w:p>
        </w:tc>
        <w:tc>
          <w:tcPr>
            <w:tcW w:w="35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自治区公安厅</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00" w:hRule="atLeast"/>
          <w:jc w:val="center"/>
        </w:trPr>
        <w:tc>
          <w:tcPr>
            <w:tcW w:w="9630" w:type="dxa"/>
            <w:gridSpan w:val="5"/>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（二）个人事项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55" w:hRule="atLeast"/>
          <w:jc w:val="center"/>
        </w:trPr>
        <w:tc>
          <w:tcPr>
            <w:tcW w:w="975"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出生</w:t>
            </w:r>
          </w:p>
        </w:tc>
        <w:tc>
          <w:tcPr>
            <w:tcW w:w="810"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宋体" w:cs="Times New Roman"/>
                <w:sz w:val="24"/>
                <w:szCs w:val="24"/>
              </w:rPr>
              <w:t>9</w:t>
            </w:r>
          </w:p>
        </w:tc>
        <w:tc>
          <w:tcPr>
            <w:tcW w:w="1590"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新生儿出生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“一件事”</w:t>
            </w:r>
          </w:p>
        </w:tc>
        <w:tc>
          <w:tcPr>
            <w:tcW w:w="273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《出生医学证明》办理（首签）</w:t>
            </w:r>
          </w:p>
        </w:tc>
        <w:tc>
          <w:tcPr>
            <w:tcW w:w="352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宋体" w:cs="Times New Roman"/>
                <w:sz w:val="24"/>
                <w:szCs w:val="24"/>
              </w:rPr>
              <w:t>★</w:t>
            </w:r>
            <w:r>
              <w:rPr>
                <w:rFonts w:hint="eastAsia" w:ascii="宋体" w:hAnsi="宋体" w:eastAsia="宋体" w:cs="宋体"/>
                <w:sz w:val="24"/>
                <w:szCs w:val="24"/>
              </w:rPr>
              <w:t>自治区卫生健康委员会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0" w:hRule="atLeast"/>
          <w:jc w:val="center"/>
        </w:trPr>
        <w:tc>
          <w:tcPr>
            <w:tcW w:w="97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810"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1590"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预防接种证办理</w:t>
            </w:r>
          </w:p>
        </w:tc>
        <w:tc>
          <w:tcPr>
            <w:tcW w:w="35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自治区疾病预防控制局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80" w:hRule="atLeast"/>
          <w:jc w:val="center"/>
        </w:trPr>
        <w:tc>
          <w:tcPr>
            <w:tcW w:w="97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810"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1590"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本市户口登记（申报出生登记）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宋体" w:cs="Times New Roman"/>
                <w:sz w:val="24"/>
                <w:szCs w:val="24"/>
              </w:rPr>
              <w:t>1 </w:t>
            </w:r>
            <w:r>
              <w:rPr>
                <w:rFonts w:hint="eastAsia" w:ascii="宋体" w:hAnsi="宋体" w:eastAsia="宋体" w:cs="宋体"/>
                <w:sz w:val="24"/>
                <w:szCs w:val="24"/>
              </w:rPr>
              <w:t>岁以下婚内本市生育</w:t>
            </w:r>
          </w:p>
        </w:tc>
        <w:tc>
          <w:tcPr>
            <w:tcW w:w="35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自治区公安厅</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55" w:hRule="atLeast"/>
          <w:jc w:val="center"/>
        </w:trPr>
        <w:tc>
          <w:tcPr>
            <w:tcW w:w="97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810"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1590"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社会保障卡申领</w:t>
            </w:r>
          </w:p>
        </w:tc>
        <w:tc>
          <w:tcPr>
            <w:tcW w:w="35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自治区人力资源和社会保障厅</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20" w:hRule="atLeast"/>
          <w:jc w:val="center"/>
        </w:trPr>
        <w:tc>
          <w:tcPr>
            <w:tcW w:w="97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810"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1590"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生育医疗费用报销</w:t>
            </w:r>
          </w:p>
        </w:tc>
        <w:tc>
          <w:tcPr>
            <w:tcW w:w="35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自治区医疗保障局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20" w:hRule="atLeast"/>
          <w:jc w:val="center"/>
        </w:trPr>
        <w:tc>
          <w:tcPr>
            <w:tcW w:w="97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810"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1590"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办理居民医保登记</w:t>
            </w:r>
          </w:p>
        </w:tc>
        <w:tc>
          <w:tcPr>
            <w:tcW w:w="35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自治区医疗保障局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20" w:hRule="atLeast"/>
          <w:jc w:val="center"/>
        </w:trPr>
        <w:tc>
          <w:tcPr>
            <w:tcW w:w="97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810"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1590"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城乡居民社会保险费申报</w:t>
            </w:r>
          </w:p>
        </w:tc>
        <w:tc>
          <w:tcPr>
            <w:tcW w:w="35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新疆税务局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20" w:hRule="atLeast"/>
          <w:jc w:val="center"/>
        </w:trPr>
        <w:tc>
          <w:tcPr>
            <w:tcW w:w="97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810"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1590"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科学育儿指导服务登记</w:t>
            </w:r>
          </w:p>
        </w:tc>
        <w:tc>
          <w:tcPr>
            <w:tcW w:w="35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自治区卫生健康委员会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05" w:hRule="atLeast"/>
          <w:jc w:val="center"/>
        </w:trPr>
        <w:tc>
          <w:tcPr>
            <w:tcW w:w="975"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入学</w:t>
            </w:r>
          </w:p>
        </w:tc>
        <w:tc>
          <w:tcPr>
            <w:tcW w:w="810"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宋体" w:cs="Times New Roman"/>
                <w:sz w:val="24"/>
                <w:szCs w:val="24"/>
              </w:rPr>
              <w:t>10</w:t>
            </w:r>
          </w:p>
        </w:tc>
        <w:tc>
          <w:tcPr>
            <w:tcW w:w="1590"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教育入学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“一件事”</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新生入学信息采集</w:t>
            </w:r>
          </w:p>
        </w:tc>
        <w:tc>
          <w:tcPr>
            <w:tcW w:w="35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宋体" w:cs="Times New Roman"/>
                <w:sz w:val="24"/>
                <w:szCs w:val="24"/>
              </w:rPr>
              <w:t>★</w:t>
            </w:r>
            <w:r>
              <w:rPr>
                <w:rFonts w:hint="eastAsia" w:ascii="宋体" w:hAnsi="宋体" w:eastAsia="宋体" w:cs="宋体"/>
                <w:sz w:val="24"/>
                <w:szCs w:val="24"/>
              </w:rPr>
              <w:t>自治区教育厅</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jc w:val="center"/>
        </w:trPr>
        <w:tc>
          <w:tcPr>
            <w:tcW w:w="97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81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159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户籍类证明</w:t>
            </w:r>
          </w:p>
        </w:tc>
        <w:tc>
          <w:tcPr>
            <w:tcW w:w="3525"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自治区公安厅</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86" w:hRule="atLeast"/>
          <w:jc w:val="center"/>
        </w:trPr>
        <w:tc>
          <w:tcPr>
            <w:tcW w:w="97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81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159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居住证</w:t>
            </w:r>
          </w:p>
        </w:tc>
        <w:tc>
          <w:tcPr>
            <w:tcW w:w="352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0" w:hRule="atLeast"/>
          <w:jc w:val="center"/>
        </w:trPr>
        <w:tc>
          <w:tcPr>
            <w:tcW w:w="97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81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159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不动产权证书</w:t>
            </w:r>
          </w:p>
        </w:tc>
        <w:tc>
          <w:tcPr>
            <w:tcW w:w="35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自治区自然资源厅</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55" w:hRule="atLeast"/>
          <w:jc w:val="center"/>
        </w:trPr>
        <w:tc>
          <w:tcPr>
            <w:tcW w:w="97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81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159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社会保险参保缴费记录查询</w:t>
            </w:r>
          </w:p>
        </w:tc>
        <w:tc>
          <w:tcPr>
            <w:tcW w:w="35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自治区人力资源和社会保障厅</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30" w:hRule="atLeast"/>
          <w:jc w:val="center"/>
        </w:trPr>
        <w:tc>
          <w:tcPr>
            <w:tcW w:w="975"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生活</w:t>
            </w:r>
          </w:p>
        </w:tc>
        <w:tc>
          <w:tcPr>
            <w:tcW w:w="810"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宋体" w:cs="Times New Roman"/>
                <w:sz w:val="24"/>
                <w:szCs w:val="24"/>
              </w:rPr>
              <w:t>11</w:t>
            </w:r>
          </w:p>
        </w:tc>
        <w:tc>
          <w:tcPr>
            <w:tcW w:w="1590"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社会保障卡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居民服务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“一件事”</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就业和人力资源服务、社保服务</w:t>
            </w:r>
          </w:p>
        </w:tc>
        <w:tc>
          <w:tcPr>
            <w:tcW w:w="35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宋体" w:cs="Times New Roman"/>
                <w:sz w:val="24"/>
                <w:szCs w:val="24"/>
              </w:rPr>
              <w:t>★</w:t>
            </w:r>
            <w:r>
              <w:rPr>
                <w:rFonts w:hint="eastAsia" w:ascii="宋体" w:hAnsi="宋体" w:eastAsia="宋体" w:cs="宋体"/>
                <w:sz w:val="24"/>
                <w:szCs w:val="24"/>
              </w:rPr>
              <w:t>自治区人力资源和社会保障厅</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75" w:hRule="atLeast"/>
          <w:jc w:val="center"/>
        </w:trPr>
        <w:tc>
          <w:tcPr>
            <w:tcW w:w="97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81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jc w:val="both"/>
              <w:rPr>
                <w:rFonts w:hint="eastAsia" w:ascii="宋体" w:hAnsi="宋体" w:eastAsia="宋体" w:cs="宋体"/>
                <w:sz w:val="18"/>
                <w:szCs w:val="18"/>
              </w:rPr>
            </w:pPr>
          </w:p>
        </w:tc>
        <w:tc>
          <w:tcPr>
            <w:tcW w:w="159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jc w:val="both"/>
              <w:rPr>
                <w:rFonts w:hint="eastAsia" w:ascii="宋体" w:hAnsi="宋体" w:eastAsia="宋体" w:cs="宋体"/>
                <w:sz w:val="18"/>
                <w:szCs w:val="18"/>
              </w:rPr>
            </w:pP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就医购药</w:t>
            </w:r>
          </w:p>
        </w:tc>
        <w:tc>
          <w:tcPr>
            <w:tcW w:w="35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自治区医疗保障局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05" w:hRule="atLeast"/>
          <w:jc w:val="center"/>
        </w:trPr>
        <w:tc>
          <w:tcPr>
            <w:tcW w:w="97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81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jc w:val="both"/>
              <w:rPr>
                <w:rFonts w:hint="eastAsia" w:ascii="宋体" w:hAnsi="宋体" w:eastAsia="宋体" w:cs="宋体"/>
                <w:sz w:val="18"/>
                <w:szCs w:val="18"/>
              </w:rPr>
            </w:pPr>
          </w:p>
        </w:tc>
        <w:tc>
          <w:tcPr>
            <w:tcW w:w="159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jc w:val="both"/>
              <w:rPr>
                <w:rFonts w:hint="eastAsia" w:ascii="宋体" w:hAnsi="宋体" w:eastAsia="宋体" w:cs="宋体"/>
                <w:sz w:val="18"/>
                <w:szCs w:val="18"/>
              </w:rPr>
            </w:pP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交通出行</w:t>
            </w:r>
          </w:p>
        </w:tc>
        <w:tc>
          <w:tcPr>
            <w:tcW w:w="35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自治区交通运输厅</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90" w:hRule="atLeast"/>
          <w:jc w:val="center"/>
        </w:trPr>
        <w:tc>
          <w:tcPr>
            <w:tcW w:w="97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81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jc w:val="both"/>
              <w:rPr>
                <w:rFonts w:hint="eastAsia" w:ascii="宋体" w:hAnsi="宋体" w:eastAsia="宋体" w:cs="宋体"/>
                <w:sz w:val="18"/>
                <w:szCs w:val="18"/>
              </w:rPr>
            </w:pPr>
          </w:p>
        </w:tc>
        <w:tc>
          <w:tcPr>
            <w:tcW w:w="159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jc w:val="both"/>
              <w:rPr>
                <w:rFonts w:hint="eastAsia" w:ascii="宋体" w:hAnsi="宋体" w:eastAsia="宋体" w:cs="宋体"/>
                <w:sz w:val="18"/>
                <w:szCs w:val="18"/>
              </w:rPr>
            </w:pP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文化体验</w:t>
            </w:r>
          </w:p>
        </w:tc>
        <w:tc>
          <w:tcPr>
            <w:tcW w:w="35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自治区文化和旅游厅</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840" w:hRule="atLeast"/>
          <w:jc w:val="center"/>
        </w:trPr>
        <w:tc>
          <w:tcPr>
            <w:tcW w:w="97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810"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宋体" w:cs="Times New Roman"/>
                <w:sz w:val="24"/>
                <w:szCs w:val="24"/>
              </w:rPr>
              <w:t>12</w:t>
            </w:r>
          </w:p>
        </w:tc>
        <w:tc>
          <w:tcPr>
            <w:tcW w:w="1590"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残疾人服务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“一件事”</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残疾人证新办、换领、迁移、挂失、补办、注销、残疾类别</w:t>
            </w:r>
            <w:r>
              <w:rPr>
                <w:rFonts w:hint="default" w:ascii="Times New Roman" w:hAnsi="Times New Roman" w:eastAsia="宋体" w:cs="Times New Roman"/>
                <w:sz w:val="24"/>
                <w:szCs w:val="24"/>
              </w:rPr>
              <w:t>/</w:t>
            </w:r>
            <w:r>
              <w:rPr>
                <w:rFonts w:hint="eastAsia" w:ascii="宋体" w:hAnsi="宋体" w:eastAsia="宋体" w:cs="宋体"/>
                <w:sz w:val="24"/>
                <w:szCs w:val="24"/>
              </w:rPr>
              <w:t>等级变更</w:t>
            </w:r>
          </w:p>
        </w:tc>
        <w:tc>
          <w:tcPr>
            <w:tcW w:w="35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宋体" w:cs="Times New Roman"/>
                <w:sz w:val="24"/>
                <w:szCs w:val="24"/>
              </w:rPr>
              <w:t>★</w:t>
            </w:r>
            <w:r>
              <w:rPr>
                <w:rFonts w:hint="eastAsia" w:ascii="宋体" w:hAnsi="宋体" w:eastAsia="宋体" w:cs="宋体"/>
                <w:sz w:val="24"/>
                <w:szCs w:val="24"/>
              </w:rPr>
              <w:t>自治区残疾人联合会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86" w:hRule="atLeast"/>
          <w:jc w:val="center"/>
        </w:trPr>
        <w:tc>
          <w:tcPr>
            <w:tcW w:w="97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81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jc w:val="both"/>
              <w:rPr>
                <w:rFonts w:hint="eastAsia" w:ascii="宋体" w:hAnsi="宋体" w:eastAsia="宋体" w:cs="宋体"/>
                <w:sz w:val="18"/>
                <w:szCs w:val="18"/>
              </w:rPr>
            </w:pPr>
          </w:p>
        </w:tc>
        <w:tc>
          <w:tcPr>
            <w:tcW w:w="159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jc w:val="both"/>
              <w:rPr>
                <w:rFonts w:hint="eastAsia" w:ascii="宋体" w:hAnsi="宋体" w:eastAsia="宋体" w:cs="宋体"/>
                <w:sz w:val="18"/>
                <w:szCs w:val="18"/>
              </w:rPr>
            </w:pP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困难残疾人生活补贴</w:t>
            </w:r>
          </w:p>
        </w:tc>
        <w:tc>
          <w:tcPr>
            <w:tcW w:w="3525"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自治区民政厅、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自治区残疾人联合会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86" w:hRule="atLeast"/>
          <w:jc w:val="center"/>
        </w:trPr>
        <w:tc>
          <w:tcPr>
            <w:tcW w:w="97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81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jc w:val="both"/>
              <w:rPr>
                <w:rFonts w:hint="eastAsia" w:ascii="宋体" w:hAnsi="宋体" w:eastAsia="宋体" w:cs="宋体"/>
                <w:sz w:val="18"/>
                <w:szCs w:val="18"/>
              </w:rPr>
            </w:pPr>
          </w:p>
        </w:tc>
        <w:tc>
          <w:tcPr>
            <w:tcW w:w="159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jc w:val="both"/>
              <w:rPr>
                <w:rFonts w:hint="eastAsia" w:ascii="宋体" w:hAnsi="宋体" w:eastAsia="宋体" w:cs="宋体"/>
                <w:sz w:val="18"/>
                <w:szCs w:val="18"/>
              </w:rPr>
            </w:pP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重度残疾人护理补贴</w:t>
            </w:r>
          </w:p>
        </w:tc>
        <w:tc>
          <w:tcPr>
            <w:tcW w:w="352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jc w:val="both"/>
              <w:rPr>
                <w:rFonts w:hint="eastAsia" w:ascii="宋体" w:hAnsi="宋体" w:eastAsia="宋体" w:cs="宋体"/>
                <w:sz w:val="18"/>
                <w:szCs w:val="18"/>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55" w:hRule="atLeast"/>
          <w:jc w:val="center"/>
        </w:trPr>
        <w:tc>
          <w:tcPr>
            <w:tcW w:w="97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81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jc w:val="both"/>
              <w:rPr>
                <w:rFonts w:hint="eastAsia" w:ascii="宋体" w:hAnsi="宋体" w:eastAsia="宋体" w:cs="宋体"/>
                <w:sz w:val="18"/>
                <w:szCs w:val="18"/>
              </w:rPr>
            </w:pPr>
          </w:p>
        </w:tc>
        <w:tc>
          <w:tcPr>
            <w:tcW w:w="159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jc w:val="both"/>
              <w:rPr>
                <w:rFonts w:hint="eastAsia" w:ascii="宋体" w:hAnsi="宋体" w:eastAsia="宋体" w:cs="宋体"/>
                <w:sz w:val="18"/>
                <w:szCs w:val="18"/>
              </w:rPr>
            </w:pP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残疾人就业帮扶</w:t>
            </w:r>
          </w:p>
        </w:tc>
        <w:tc>
          <w:tcPr>
            <w:tcW w:w="35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自治区人力资源和社会保障厅、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自治区残疾人联合会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55" w:hRule="atLeast"/>
          <w:jc w:val="center"/>
        </w:trPr>
        <w:tc>
          <w:tcPr>
            <w:tcW w:w="97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81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jc w:val="both"/>
              <w:rPr>
                <w:rFonts w:hint="eastAsia" w:ascii="宋体" w:hAnsi="宋体" w:eastAsia="宋体" w:cs="宋体"/>
                <w:sz w:val="18"/>
                <w:szCs w:val="18"/>
              </w:rPr>
            </w:pPr>
          </w:p>
        </w:tc>
        <w:tc>
          <w:tcPr>
            <w:tcW w:w="159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jc w:val="both"/>
              <w:rPr>
                <w:rFonts w:hint="eastAsia" w:ascii="宋体" w:hAnsi="宋体" w:eastAsia="宋体" w:cs="宋体"/>
                <w:sz w:val="18"/>
                <w:szCs w:val="18"/>
              </w:rPr>
            </w:pP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城乡居民基本养老保险补助</w:t>
            </w:r>
          </w:p>
        </w:tc>
        <w:tc>
          <w:tcPr>
            <w:tcW w:w="35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自治区人力资源和社会保障厅</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55" w:hRule="atLeast"/>
          <w:jc w:val="center"/>
        </w:trPr>
        <w:tc>
          <w:tcPr>
            <w:tcW w:w="975"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退休</w:t>
            </w:r>
          </w:p>
        </w:tc>
        <w:tc>
          <w:tcPr>
            <w:tcW w:w="810"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宋体" w:cs="Times New Roman"/>
                <w:sz w:val="24"/>
                <w:szCs w:val="24"/>
              </w:rPr>
              <w:t>13</w:t>
            </w:r>
          </w:p>
        </w:tc>
        <w:tc>
          <w:tcPr>
            <w:tcW w:w="1590"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退休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“一件事”</w:t>
            </w: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职工正常退休申请（个人、企业）</w:t>
            </w:r>
          </w:p>
        </w:tc>
        <w:tc>
          <w:tcPr>
            <w:tcW w:w="3525"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宋体" w:cs="Times New Roman"/>
                <w:sz w:val="24"/>
                <w:szCs w:val="24"/>
              </w:rPr>
              <w:t>★</w:t>
            </w:r>
            <w:r>
              <w:rPr>
                <w:rFonts w:hint="eastAsia" w:ascii="宋体" w:hAnsi="宋体" w:eastAsia="宋体" w:cs="宋体"/>
                <w:sz w:val="24"/>
                <w:szCs w:val="24"/>
              </w:rPr>
              <w:t>自治区人力资源和社会保障厅</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55" w:hRule="atLeast"/>
          <w:jc w:val="center"/>
        </w:trPr>
        <w:tc>
          <w:tcPr>
            <w:tcW w:w="97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81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159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jc w:val="both"/>
              <w:rPr>
                <w:rFonts w:hint="eastAsia" w:ascii="宋体" w:hAnsi="宋体" w:eastAsia="宋体" w:cs="宋体"/>
                <w:sz w:val="18"/>
                <w:szCs w:val="18"/>
              </w:rPr>
            </w:pP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职工提前退休（退职）申请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（个人、企业）</w:t>
            </w:r>
          </w:p>
        </w:tc>
        <w:tc>
          <w:tcPr>
            <w:tcW w:w="352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jc w:val="both"/>
              <w:rPr>
                <w:rFonts w:hint="eastAsia" w:ascii="宋体" w:hAnsi="宋体" w:eastAsia="宋体" w:cs="宋体"/>
                <w:sz w:val="18"/>
                <w:szCs w:val="18"/>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05" w:hRule="atLeast"/>
          <w:jc w:val="center"/>
        </w:trPr>
        <w:tc>
          <w:tcPr>
            <w:tcW w:w="97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81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159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jc w:val="both"/>
              <w:rPr>
                <w:rFonts w:hint="eastAsia" w:ascii="宋体" w:hAnsi="宋体" w:eastAsia="宋体" w:cs="宋体"/>
                <w:sz w:val="18"/>
                <w:szCs w:val="18"/>
              </w:rPr>
            </w:pP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在职转退休</w:t>
            </w:r>
          </w:p>
        </w:tc>
        <w:tc>
          <w:tcPr>
            <w:tcW w:w="35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自治区医疗保障局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90" w:hRule="atLeast"/>
          <w:jc w:val="center"/>
        </w:trPr>
        <w:tc>
          <w:tcPr>
            <w:tcW w:w="97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81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159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jc w:val="both"/>
              <w:rPr>
                <w:rFonts w:hint="eastAsia" w:ascii="宋体" w:hAnsi="宋体" w:eastAsia="宋体" w:cs="宋体"/>
                <w:sz w:val="18"/>
                <w:szCs w:val="18"/>
              </w:rPr>
            </w:pP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个人公积金账户封存</w:t>
            </w:r>
          </w:p>
        </w:tc>
        <w:tc>
          <w:tcPr>
            <w:tcW w:w="35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自治区住房和城乡建设厅</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0" w:hRule="atLeast"/>
          <w:jc w:val="center"/>
        </w:trPr>
        <w:tc>
          <w:tcPr>
            <w:tcW w:w="97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81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159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jc w:val="both"/>
              <w:rPr>
                <w:rFonts w:hint="eastAsia" w:ascii="宋体" w:hAnsi="宋体" w:eastAsia="宋体" w:cs="宋体"/>
                <w:sz w:val="18"/>
                <w:szCs w:val="18"/>
              </w:rPr>
            </w:pP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住房公积金提取审批</w:t>
            </w:r>
          </w:p>
        </w:tc>
        <w:tc>
          <w:tcPr>
            <w:tcW w:w="35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自治区住房和城乡建设厅</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05" w:hRule="atLeast"/>
          <w:jc w:val="center"/>
        </w:trPr>
        <w:tc>
          <w:tcPr>
            <w:tcW w:w="97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81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159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jc w:val="both"/>
              <w:rPr>
                <w:rFonts w:hint="eastAsia" w:ascii="宋体" w:hAnsi="宋体" w:eastAsia="宋体" w:cs="宋体"/>
                <w:sz w:val="18"/>
                <w:szCs w:val="18"/>
              </w:rPr>
            </w:pP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城镇独生子女父母奖励金</w:t>
            </w:r>
          </w:p>
        </w:tc>
        <w:tc>
          <w:tcPr>
            <w:tcW w:w="35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自治区卫生健康委员会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86" w:hRule="atLeast"/>
          <w:jc w:val="center"/>
        </w:trPr>
        <w:tc>
          <w:tcPr>
            <w:tcW w:w="97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81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jc w:val="center"/>
              <w:rPr>
                <w:rFonts w:hint="eastAsia" w:ascii="宋体" w:hAnsi="宋体" w:eastAsia="宋体" w:cs="宋体"/>
                <w:sz w:val="18"/>
                <w:szCs w:val="18"/>
              </w:rPr>
            </w:pPr>
          </w:p>
        </w:tc>
        <w:tc>
          <w:tcPr>
            <w:tcW w:w="159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jc w:val="both"/>
              <w:rPr>
                <w:rFonts w:hint="eastAsia" w:ascii="宋体" w:hAnsi="宋体" w:eastAsia="宋体" w:cs="宋体"/>
                <w:sz w:val="18"/>
                <w:szCs w:val="18"/>
              </w:rPr>
            </w:pPr>
          </w:p>
        </w:tc>
        <w:tc>
          <w:tcPr>
            <w:tcW w:w="27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户籍信息确认</w:t>
            </w:r>
          </w:p>
        </w:tc>
        <w:tc>
          <w:tcPr>
            <w:tcW w:w="35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自治区公安厅</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default" w:ascii="Calibri" w:hAnsi="Calibri" w:cs="Calibri"/>
          <w:i w:val="0"/>
          <w:iCs w:val="0"/>
          <w:caps w:val="0"/>
          <w:color w:val="000000"/>
          <w:spacing w:val="0"/>
          <w:sz w:val="21"/>
          <w:szCs w:val="21"/>
        </w:rPr>
      </w:pPr>
      <w:r>
        <w:rPr>
          <w:rFonts w:hint="default" w:ascii="Calibri" w:hAnsi="Calibri" w:cs="Calibri"/>
          <w:i w:val="0"/>
          <w:iCs w:val="0"/>
          <w:caps w:val="0"/>
          <w:color w:val="000000"/>
          <w:spacing w:val="0"/>
          <w:sz w:val="21"/>
          <w:szCs w:val="21"/>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ascii="Calibri" w:hAnsi="Calibri" w:cs="Calibri"/>
          <w:i w:val="0"/>
          <w:iCs w:val="0"/>
          <w:caps w:val="0"/>
          <w:color w:val="000000"/>
          <w:spacing w:val="0"/>
          <w:sz w:val="21"/>
          <w:szCs w:val="21"/>
        </w:rPr>
      </w:pPr>
      <w:r>
        <w:rPr>
          <w:rFonts w:ascii="方正黑体_GBK" w:hAnsi="方正黑体_GBK" w:eastAsia="方正黑体_GBK" w:cs="方正黑体_GBK"/>
          <w:i w:val="0"/>
          <w:iCs w:val="0"/>
          <w:caps w:val="0"/>
          <w:color w:val="000000"/>
          <w:spacing w:val="0"/>
          <w:sz w:val="32"/>
          <w:szCs w:val="32"/>
          <w:shd w:val="clear" w:fill="FFFFFF"/>
        </w:rPr>
        <w:t>附件</w:t>
      </w:r>
      <w:r>
        <w:rPr>
          <w:rFonts w:hint="default" w:ascii="Times New Roman" w:hAnsi="Times New Roman" w:cs="Times New Roman"/>
          <w:i w:val="0"/>
          <w:iCs w:val="0"/>
          <w:caps w:val="0"/>
          <w:color w:val="000000"/>
          <w:spacing w:val="0"/>
          <w:sz w:val="32"/>
          <w:szCs w:val="32"/>
          <w:shd w:val="clear" w:fill="FFFFFF"/>
        </w:rPr>
        <w:t>2</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default" w:ascii="Calibri" w:hAnsi="Calibri" w:cs="Calibri"/>
          <w:i w:val="0"/>
          <w:iCs w:val="0"/>
          <w:caps w:val="0"/>
          <w:color w:val="000000"/>
          <w:spacing w:val="0"/>
          <w:sz w:val="21"/>
          <w:szCs w:val="21"/>
        </w:rPr>
      </w:pPr>
      <w:r>
        <w:rPr>
          <w:rFonts w:hint="default" w:ascii="Calibri" w:hAnsi="Calibri" w:cs="Calibri"/>
          <w:i w:val="0"/>
          <w:iCs w:val="0"/>
          <w:caps w:val="0"/>
          <w:color w:val="000000"/>
          <w:spacing w:val="0"/>
          <w:sz w:val="21"/>
          <w:szCs w:val="21"/>
          <w:shd w:val="clear" w:fill="FFFFFF"/>
        </w:rPr>
        <w:t> </w:t>
      </w:r>
      <w:r>
        <w:rPr>
          <w:rFonts w:ascii="方正小标宋简体" w:hAnsi="方正小标宋简体" w:eastAsia="方正小标宋简体" w:cs="方正小标宋简体"/>
          <w:i w:val="0"/>
          <w:iCs w:val="0"/>
          <w:caps w:val="0"/>
          <w:color w:val="000000"/>
          <w:spacing w:val="0"/>
          <w:sz w:val="44"/>
          <w:szCs w:val="44"/>
          <w:shd w:val="clear" w:fill="FFFFFF"/>
        </w:rPr>
        <w:t>“</w:t>
      </w:r>
      <w:r>
        <w:rPr>
          <w:rFonts w:hint="eastAsia" w:ascii="方正小标宋简体" w:hAnsi="方正小标宋简体" w:eastAsia="方正小标宋简体" w:cs="方正小标宋简体"/>
          <w:i w:val="0"/>
          <w:iCs w:val="0"/>
          <w:caps w:val="0"/>
          <w:color w:val="000000"/>
          <w:spacing w:val="0"/>
          <w:sz w:val="44"/>
          <w:szCs w:val="44"/>
          <w:shd w:val="clear" w:fill="FFFFFF"/>
        </w:rPr>
        <w:t>高效办成一件事”</w:t>
      </w:r>
      <w:r>
        <w:rPr>
          <w:rFonts w:hint="default" w:ascii="Times New Roman" w:hAnsi="Times New Roman" w:cs="Times New Roman"/>
          <w:i w:val="0"/>
          <w:iCs w:val="0"/>
          <w:caps w:val="0"/>
          <w:color w:val="000000"/>
          <w:spacing w:val="0"/>
          <w:sz w:val="44"/>
          <w:szCs w:val="44"/>
          <w:shd w:val="clear" w:fill="FFFFFF"/>
        </w:rPr>
        <w:t>2024</w:t>
      </w:r>
      <w:r>
        <w:rPr>
          <w:rFonts w:hint="eastAsia" w:ascii="方正小标宋简体" w:hAnsi="方正小标宋简体" w:eastAsia="方正小标宋简体" w:cs="方正小标宋简体"/>
          <w:i w:val="0"/>
          <w:iCs w:val="0"/>
          <w:caps w:val="0"/>
          <w:color w:val="000000"/>
          <w:spacing w:val="0"/>
          <w:sz w:val="44"/>
          <w:szCs w:val="44"/>
          <w:shd w:val="clear" w:fill="FFFFFF"/>
        </w:rPr>
        <w:t>年度创新事项清单</w:t>
      </w:r>
    </w:p>
    <w:tbl>
      <w:tblPr>
        <w:tblStyle w:val="4"/>
        <w:tblW w:w="945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1027"/>
        <w:gridCol w:w="1722"/>
        <w:gridCol w:w="3390"/>
        <w:gridCol w:w="33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792" w:hRule="atLeast"/>
          <w:jc w:val="center"/>
        </w:trPr>
        <w:tc>
          <w:tcPr>
            <w:tcW w:w="1027" w:type="dxa"/>
            <w:tcBorders>
              <w:top w:val="single" w:color="auto" w:sz="8" w:space="0"/>
              <w:left w:val="single" w:color="auto" w:sz="8" w:space="0"/>
              <w:bottom w:val="single" w:color="auto" w:sz="8" w:space="0"/>
              <w:right w:val="single" w:color="000000"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ascii="Calibri" w:hAnsi="Calibri" w:cs="Calibri"/>
                <w:sz w:val="21"/>
                <w:szCs w:val="21"/>
              </w:rPr>
            </w:pPr>
            <w:r>
              <w:rPr>
                <w:rFonts w:hint="eastAsia" w:ascii="宋体" w:hAnsi="宋体" w:eastAsia="宋体" w:cs="宋体"/>
                <w:b/>
                <w:bCs/>
                <w:i w:val="0"/>
                <w:iCs w:val="0"/>
                <w:caps w:val="0"/>
                <w:color w:val="000000"/>
                <w:spacing w:val="0"/>
                <w:sz w:val="24"/>
                <w:szCs w:val="24"/>
              </w:rPr>
              <w:t>序号</w:t>
            </w:r>
          </w:p>
        </w:tc>
        <w:tc>
          <w:tcPr>
            <w:tcW w:w="1722" w:type="dxa"/>
            <w:tcBorders>
              <w:top w:val="single" w:color="auto" w:sz="8" w:space="0"/>
              <w:left w:val="single" w:color="000000"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b/>
                <w:bCs/>
                <w:i w:val="0"/>
                <w:iCs w:val="0"/>
                <w:caps w:val="0"/>
                <w:color w:val="000000"/>
                <w:spacing w:val="0"/>
                <w:sz w:val="22"/>
                <w:szCs w:val="22"/>
              </w:rPr>
              <w:t>“一件事”名称</w:t>
            </w:r>
          </w:p>
        </w:tc>
        <w:tc>
          <w:tcPr>
            <w:tcW w:w="3390" w:type="dxa"/>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b/>
                <w:bCs/>
                <w:i w:val="0"/>
                <w:iCs w:val="0"/>
                <w:caps w:val="0"/>
                <w:color w:val="000000"/>
                <w:spacing w:val="0"/>
                <w:sz w:val="22"/>
                <w:szCs w:val="22"/>
              </w:rPr>
              <w:t>事项名称</w:t>
            </w:r>
          </w:p>
        </w:tc>
        <w:tc>
          <w:tcPr>
            <w:tcW w:w="3315" w:type="dxa"/>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b/>
                <w:bCs/>
                <w:i w:val="0"/>
                <w:iCs w:val="0"/>
                <w:caps w:val="0"/>
                <w:color w:val="000000"/>
                <w:spacing w:val="0"/>
                <w:sz w:val="24"/>
                <w:szCs w:val="24"/>
              </w:rPr>
              <w:t>责任部门（</w:t>
            </w:r>
            <w:r>
              <w:rPr>
                <w:rFonts w:hint="default" w:ascii="Times New Roman" w:hAnsi="Times New Roman" w:eastAsia="宋体" w:cs="Times New Roman"/>
                <w:b/>
                <w:bCs/>
                <w:i w:val="0"/>
                <w:iCs w:val="0"/>
                <w:caps w:val="0"/>
                <w:color w:val="000000"/>
                <w:spacing w:val="0"/>
                <w:sz w:val="24"/>
                <w:szCs w:val="24"/>
              </w:rPr>
              <w:t>★</w:t>
            </w:r>
            <w:r>
              <w:rPr>
                <w:rFonts w:hint="eastAsia" w:ascii="宋体" w:hAnsi="宋体" w:eastAsia="宋体" w:cs="宋体"/>
                <w:b/>
                <w:bCs/>
                <w:i w:val="0"/>
                <w:iCs w:val="0"/>
                <w:caps w:val="0"/>
                <w:color w:val="000000"/>
                <w:spacing w:val="0"/>
                <w:sz w:val="24"/>
                <w:szCs w:val="24"/>
              </w:rPr>
              <w:t>为该“一件事”牵头部门）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0" w:hRule="atLeast"/>
          <w:jc w:val="center"/>
        </w:trPr>
        <w:tc>
          <w:tcPr>
            <w:tcW w:w="1027" w:type="dxa"/>
            <w:vMerge w:val="restart"/>
            <w:tcBorders>
              <w:top w:val="nil"/>
              <w:left w:val="single" w:color="000000" w:sz="8" w:space="0"/>
              <w:bottom w:val="single" w:color="auto" w:sz="8" w:space="0"/>
              <w:right w:val="single" w:color="000000"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i w:val="0"/>
                <w:iCs w:val="0"/>
                <w:caps w:val="0"/>
                <w:color w:val="000000"/>
                <w:spacing w:val="0"/>
                <w:sz w:val="22"/>
                <w:szCs w:val="22"/>
              </w:rPr>
              <w:t>1</w:t>
            </w:r>
          </w:p>
        </w:tc>
        <w:tc>
          <w:tcPr>
            <w:tcW w:w="1722" w:type="dxa"/>
            <w:vMerge w:val="restart"/>
            <w:tcBorders>
              <w:top w:val="nil"/>
              <w:left w:val="nil"/>
              <w:bottom w:val="single" w:color="auto" w:sz="8" w:space="0"/>
              <w:right w:val="single" w:color="000000"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i w:val="0"/>
                <w:iCs w:val="0"/>
                <w:caps w:val="0"/>
                <w:color w:val="000000"/>
                <w:spacing w:val="0"/>
                <w:sz w:val="22"/>
                <w:szCs w:val="22"/>
              </w:rPr>
              <w:t>失业“一件事”</w:t>
            </w:r>
          </w:p>
        </w:tc>
        <w:tc>
          <w:tcPr>
            <w:tcW w:w="3390"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i w:val="0"/>
                <w:iCs w:val="0"/>
                <w:caps w:val="0"/>
                <w:color w:val="000000"/>
                <w:spacing w:val="0"/>
                <w:sz w:val="22"/>
                <w:szCs w:val="22"/>
              </w:rPr>
              <w:t>失业登记</w:t>
            </w:r>
          </w:p>
        </w:tc>
        <w:tc>
          <w:tcPr>
            <w:tcW w:w="3315" w:type="dxa"/>
            <w:vMerge w:val="restar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i w:val="0"/>
                <w:iCs w:val="0"/>
                <w:caps w:val="0"/>
                <w:color w:val="000000"/>
                <w:spacing w:val="0"/>
                <w:sz w:val="22"/>
                <w:szCs w:val="22"/>
              </w:rPr>
              <w:t>★自治区人力资源和社会保障厅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0" w:hRule="atLeast"/>
          <w:jc w:val="center"/>
        </w:trPr>
        <w:tc>
          <w:tcPr>
            <w:tcW w:w="1027" w:type="dxa"/>
            <w:vMerge w:val="continue"/>
            <w:tcBorders>
              <w:top w:val="nil"/>
              <w:left w:val="single" w:color="000000" w:sz="8" w:space="0"/>
              <w:bottom w:val="single" w:color="auto" w:sz="8" w:space="0"/>
              <w:right w:val="single" w:color="000000"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i w:val="0"/>
                <w:iCs w:val="0"/>
                <w:caps w:val="0"/>
                <w:color w:val="000000"/>
                <w:spacing w:val="0"/>
                <w:sz w:val="18"/>
                <w:szCs w:val="18"/>
              </w:rPr>
            </w:pPr>
          </w:p>
        </w:tc>
        <w:tc>
          <w:tcPr>
            <w:tcW w:w="1722" w:type="dxa"/>
            <w:vMerge w:val="continue"/>
            <w:tcBorders>
              <w:top w:val="nil"/>
              <w:left w:val="nil"/>
              <w:bottom w:val="single" w:color="auto" w:sz="8" w:space="0"/>
              <w:right w:val="single" w:color="000000"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i w:val="0"/>
                <w:iCs w:val="0"/>
                <w:caps w:val="0"/>
                <w:color w:val="000000"/>
                <w:spacing w:val="0"/>
                <w:sz w:val="18"/>
                <w:szCs w:val="18"/>
              </w:rPr>
            </w:pPr>
          </w:p>
        </w:tc>
        <w:tc>
          <w:tcPr>
            <w:tcW w:w="3390"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i w:val="0"/>
                <w:iCs w:val="0"/>
                <w:caps w:val="0"/>
                <w:color w:val="000000"/>
                <w:spacing w:val="0"/>
                <w:sz w:val="22"/>
                <w:szCs w:val="22"/>
              </w:rPr>
              <w:t>《就业创业证》申领</w:t>
            </w:r>
          </w:p>
        </w:tc>
        <w:tc>
          <w:tcPr>
            <w:tcW w:w="3315"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i w:val="0"/>
                <w:iCs w:val="0"/>
                <w:caps w:val="0"/>
                <w:color w:val="00000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0" w:hRule="atLeast"/>
          <w:jc w:val="center"/>
        </w:trPr>
        <w:tc>
          <w:tcPr>
            <w:tcW w:w="1027" w:type="dxa"/>
            <w:vMerge w:val="continue"/>
            <w:tcBorders>
              <w:top w:val="nil"/>
              <w:left w:val="single" w:color="000000" w:sz="8" w:space="0"/>
              <w:bottom w:val="single" w:color="auto" w:sz="8" w:space="0"/>
              <w:right w:val="single" w:color="000000"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i w:val="0"/>
                <w:iCs w:val="0"/>
                <w:caps w:val="0"/>
                <w:color w:val="000000"/>
                <w:spacing w:val="0"/>
                <w:sz w:val="18"/>
                <w:szCs w:val="18"/>
              </w:rPr>
            </w:pPr>
          </w:p>
        </w:tc>
        <w:tc>
          <w:tcPr>
            <w:tcW w:w="1722" w:type="dxa"/>
            <w:vMerge w:val="continue"/>
            <w:tcBorders>
              <w:top w:val="nil"/>
              <w:left w:val="nil"/>
              <w:bottom w:val="single" w:color="auto" w:sz="8" w:space="0"/>
              <w:right w:val="single" w:color="000000"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i w:val="0"/>
                <w:iCs w:val="0"/>
                <w:caps w:val="0"/>
                <w:color w:val="000000"/>
                <w:spacing w:val="0"/>
                <w:sz w:val="18"/>
                <w:szCs w:val="18"/>
              </w:rPr>
            </w:pPr>
          </w:p>
        </w:tc>
        <w:tc>
          <w:tcPr>
            <w:tcW w:w="3390"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i w:val="0"/>
                <w:iCs w:val="0"/>
                <w:caps w:val="0"/>
                <w:color w:val="000000"/>
                <w:spacing w:val="0"/>
                <w:sz w:val="22"/>
                <w:szCs w:val="22"/>
              </w:rPr>
              <w:t>就业困难人员认定</w:t>
            </w:r>
          </w:p>
        </w:tc>
        <w:tc>
          <w:tcPr>
            <w:tcW w:w="3315"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i w:val="0"/>
                <w:iCs w:val="0"/>
                <w:caps w:val="0"/>
                <w:color w:val="00000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0" w:hRule="atLeast"/>
          <w:jc w:val="center"/>
        </w:trPr>
        <w:tc>
          <w:tcPr>
            <w:tcW w:w="1027" w:type="dxa"/>
            <w:vMerge w:val="continue"/>
            <w:tcBorders>
              <w:top w:val="nil"/>
              <w:left w:val="single" w:color="000000" w:sz="8" w:space="0"/>
              <w:bottom w:val="single" w:color="auto" w:sz="8" w:space="0"/>
              <w:right w:val="single" w:color="000000"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i w:val="0"/>
                <w:iCs w:val="0"/>
                <w:caps w:val="0"/>
                <w:color w:val="000000"/>
                <w:spacing w:val="0"/>
                <w:sz w:val="18"/>
                <w:szCs w:val="18"/>
              </w:rPr>
            </w:pPr>
          </w:p>
        </w:tc>
        <w:tc>
          <w:tcPr>
            <w:tcW w:w="1722" w:type="dxa"/>
            <w:vMerge w:val="continue"/>
            <w:tcBorders>
              <w:top w:val="nil"/>
              <w:left w:val="nil"/>
              <w:bottom w:val="single" w:color="auto" w:sz="8" w:space="0"/>
              <w:right w:val="single" w:color="000000"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i w:val="0"/>
                <w:iCs w:val="0"/>
                <w:caps w:val="0"/>
                <w:color w:val="000000"/>
                <w:spacing w:val="0"/>
                <w:sz w:val="18"/>
                <w:szCs w:val="18"/>
              </w:rPr>
            </w:pPr>
          </w:p>
        </w:tc>
        <w:tc>
          <w:tcPr>
            <w:tcW w:w="3390"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i w:val="0"/>
                <w:iCs w:val="0"/>
                <w:caps w:val="0"/>
                <w:color w:val="000000"/>
                <w:spacing w:val="0"/>
                <w:sz w:val="22"/>
                <w:szCs w:val="22"/>
              </w:rPr>
              <w:t>失业保险金申领</w:t>
            </w:r>
          </w:p>
        </w:tc>
        <w:tc>
          <w:tcPr>
            <w:tcW w:w="3315"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i w:val="0"/>
                <w:iCs w:val="0"/>
                <w:caps w:val="0"/>
                <w:color w:val="00000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0" w:hRule="atLeast"/>
          <w:jc w:val="center"/>
        </w:trPr>
        <w:tc>
          <w:tcPr>
            <w:tcW w:w="1027" w:type="dxa"/>
            <w:vMerge w:val="continue"/>
            <w:tcBorders>
              <w:top w:val="nil"/>
              <w:left w:val="single" w:color="000000" w:sz="8" w:space="0"/>
              <w:bottom w:val="single" w:color="auto" w:sz="8" w:space="0"/>
              <w:right w:val="single" w:color="000000"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i w:val="0"/>
                <w:iCs w:val="0"/>
                <w:caps w:val="0"/>
                <w:color w:val="000000"/>
                <w:spacing w:val="0"/>
                <w:sz w:val="18"/>
                <w:szCs w:val="18"/>
              </w:rPr>
            </w:pPr>
          </w:p>
        </w:tc>
        <w:tc>
          <w:tcPr>
            <w:tcW w:w="1722" w:type="dxa"/>
            <w:vMerge w:val="continue"/>
            <w:tcBorders>
              <w:top w:val="nil"/>
              <w:left w:val="nil"/>
              <w:bottom w:val="single" w:color="auto" w:sz="8" w:space="0"/>
              <w:right w:val="single" w:color="000000"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i w:val="0"/>
                <w:iCs w:val="0"/>
                <w:caps w:val="0"/>
                <w:color w:val="000000"/>
                <w:spacing w:val="0"/>
                <w:sz w:val="18"/>
                <w:szCs w:val="18"/>
              </w:rPr>
            </w:pPr>
          </w:p>
        </w:tc>
        <w:tc>
          <w:tcPr>
            <w:tcW w:w="3390"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i w:val="0"/>
                <w:iCs w:val="0"/>
                <w:caps w:val="0"/>
                <w:color w:val="000000"/>
                <w:spacing w:val="0"/>
                <w:sz w:val="22"/>
                <w:szCs w:val="22"/>
              </w:rPr>
              <w:t>灵活就业人员参保登记</w:t>
            </w:r>
          </w:p>
        </w:tc>
        <w:tc>
          <w:tcPr>
            <w:tcW w:w="3315"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i w:val="0"/>
                <w:iCs w:val="0"/>
                <w:caps w:val="0"/>
                <w:color w:val="00000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0" w:hRule="atLeast"/>
          <w:jc w:val="center"/>
        </w:trPr>
        <w:tc>
          <w:tcPr>
            <w:tcW w:w="1027" w:type="dxa"/>
            <w:vMerge w:val="continue"/>
            <w:tcBorders>
              <w:top w:val="nil"/>
              <w:left w:val="single" w:color="000000" w:sz="8" w:space="0"/>
              <w:bottom w:val="single" w:color="auto" w:sz="8" w:space="0"/>
              <w:right w:val="single" w:color="000000"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i w:val="0"/>
                <w:iCs w:val="0"/>
                <w:caps w:val="0"/>
                <w:color w:val="000000"/>
                <w:spacing w:val="0"/>
                <w:sz w:val="18"/>
                <w:szCs w:val="18"/>
              </w:rPr>
            </w:pPr>
          </w:p>
        </w:tc>
        <w:tc>
          <w:tcPr>
            <w:tcW w:w="1722" w:type="dxa"/>
            <w:vMerge w:val="continue"/>
            <w:tcBorders>
              <w:top w:val="nil"/>
              <w:left w:val="nil"/>
              <w:bottom w:val="single" w:color="auto" w:sz="8" w:space="0"/>
              <w:right w:val="single" w:color="000000"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i w:val="0"/>
                <w:iCs w:val="0"/>
                <w:caps w:val="0"/>
                <w:color w:val="000000"/>
                <w:spacing w:val="0"/>
                <w:sz w:val="18"/>
                <w:szCs w:val="18"/>
              </w:rPr>
            </w:pPr>
          </w:p>
        </w:tc>
        <w:tc>
          <w:tcPr>
            <w:tcW w:w="3390"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i w:val="0"/>
                <w:iCs w:val="0"/>
                <w:caps w:val="0"/>
                <w:color w:val="000000"/>
                <w:spacing w:val="0"/>
                <w:sz w:val="22"/>
                <w:szCs w:val="22"/>
              </w:rPr>
              <w:t>社会保障卡申领</w:t>
            </w:r>
          </w:p>
        </w:tc>
        <w:tc>
          <w:tcPr>
            <w:tcW w:w="3315"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i w:val="0"/>
                <w:iCs w:val="0"/>
                <w:caps w:val="0"/>
                <w:color w:val="00000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0" w:hRule="atLeast"/>
          <w:jc w:val="center"/>
        </w:trPr>
        <w:tc>
          <w:tcPr>
            <w:tcW w:w="1027" w:type="dxa"/>
            <w:vMerge w:val="restart"/>
            <w:tcBorders>
              <w:top w:val="nil"/>
              <w:left w:val="single" w:color="000000" w:sz="8" w:space="0"/>
              <w:bottom w:val="single" w:color="auto" w:sz="8" w:space="0"/>
              <w:right w:val="single" w:color="000000"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i w:val="0"/>
                <w:iCs w:val="0"/>
                <w:caps w:val="0"/>
                <w:color w:val="000000"/>
                <w:spacing w:val="0"/>
                <w:sz w:val="22"/>
                <w:szCs w:val="22"/>
              </w:rPr>
              <w:t>2</w:t>
            </w:r>
          </w:p>
        </w:tc>
        <w:tc>
          <w:tcPr>
            <w:tcW w:w="1722" w:type="dxa"/>
            <w:vMerge w:val="restart"/>
            <w:tcBorders>
              <w:top w:val="nil"/>
              <w:left w:val="nil"/>
              <w:bottom w:val="single" w:color="auto" w:sz="8" w:space="0"/>
              <w:right w:val="single" w:color="000000"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i w:val="0"/>
                <w:iCs w:val="0"/>
                <w:caps w:val="0"/>
                <w:color w:val="000000"/>
                <w:spacing w:val="0"/>
                <w:sz w:val="22"/>
                <w:szCs w:val="22"/>
              </w:rPr>
              <w:t>公积金贷款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i w:val="0"/>
                <w:iCs w:val="0"/>
                <w:caps w:val="0"/>
                <w:color w:val="000000"/>
                <w:spacing w:val="0"/>
                <w:sz w:val="22"/>
                <w:szCs w:val="22"/>
              </w:rPr>
              <w:t>结清“一件事”</w:t>
            </w:r>
          </w:p>
        </w:tc>
        <w:tc>
          <w:tcPr>
            <w:tcW w:w="3390"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i w:val="0"/>
                <w:iCs w:val="0"/>
                <w:caps w:val="0"/>
                <w:color w:val="000000"/>
                <w:spacing w:val="0"/>
                <w:sz w:val="22"/>
                <w:szCs w:val="22"/>
              </w:rPr>
              <w:t>提前结清贷款</w:t>
            </w:r>
          </w:p>
        </w:tc>
        <w:tc>
          <w:tcPr>
            <w:tcW w:w="3315" w:type="dxa"/>
            <w:vMerge w:val="restart"/>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i w:val="0"/>
                <w:iCs w:val="0"/>
                <w:caps w:val="0"/>
                <w:color w:val="000000"/>
                <w:spacing w:val="0"/>
                <w:sz w:val="22"/>
                <w:szCs w:val="22"/>
              </w:rPr>
              <w:t>★自治区住房和城乡建设厅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0" w:hRule="atLeast"/>
          <w:jc w:val="center"/>
        </w:trPr>
        <w:tc>
          <w:tcPr>
            <w:tcW w:w="1027" w:type="dxa"/>
            <w:vMerge w:val="continue"/>
            <w:tcBorders>
              <w:top w:val="nil"/>
              <w:left w:val="single" w:color="000000" w:sz="8" w:space="0"/>
              <w:bottom w:val="single" w:color="auto" w:sz="8" w:space="0"/>
              <w:right w:val="single" w:color="000000"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i w:val="0"/>
                <w:iCs w:val="0"/>
                <w:caps w:val="0"/>
                <w:color w:val="000000"/>
                <w:spacing w:val="0"/>
                <w:sz w:val="18"/>
                <w:szCs w:val="18"/>
              </w:rPr>
            </w:pPr>
          </w:p>
        </w:tc>
        <w:tc>
          <w:tcPr>
            <w:tcW w:w="1722" w:type="dxa"/>
            <w:vMerge w:val="continue"/>
            <w:tcBorders>
              <w:top w:val="nil"/>
              <w:left w:val="nil"/>
              <w:bottom w:val="single" w:color="auto" w:sz="8" w:space="0"/>
              <w:right w:val="single" w:color="000000"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i w:val="0"/>
                <w:iCs w:val="0"/>
                <w:caps w:val="0"/>
                <w:color w:val="000000"/>
                <w:spacing w:val="0"/>
                <w:sz w:val="18"/>
                <w:szCs w:val="18"/>
              </w:rPr>
            </w:pPr>
          </w:p>
        </w:tc>
        <w:tc>
          <w:tcPr>
            <w:tcW w:w="3390"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i w:val="0"/>
                <w:iCs w:val="0"/>
                <w:caps w:val="0"/>
                <w:color w:val="000000"/>
                <w:spacing w:val="0"/>
                <w:sz w:val="22"/>
                <w:szCs w:val="22"/>
              </w:rPr>
              <w:t>开具住房公积金个人住房贷款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i w:val="0"/>
                <w:iCs w:val="0"/>
                <w:caps w:val="0"/>
                <w:color w:val="000000"/>
                <w:spacing w:val="0"/>
                <w:sz w:val="22"/>
                <w:szCs w:val="22"/>
              </w:rPr>
              <w:t>全部还清证明</w:t>
            </w:r>
          </w:p>
        </w:tc>
        <w:tc>
          <w:tcPr>
            <w:tcW w:w="3315" w:type="dxa"/>
            <w:vMerge w:val="continue"/>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i w:val="0"/>
                <w:iCs w:val="0"/>
                <w:caps w:val="0"/>
                <w:color w:val="00000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0" w:hRule="atLeast"/>
          <w:jc w:val="center"/>
        </w:trPr>
        <w:tc>
          <w:tcPr>
            <w:tcW w:w="1027" w:type="dxa"/>
            <w:vMerge w:val="continue"/>
            <w:tcBorders>
              <w:top w:val="nil"/>
              <w:left w:val="single" w:color="000000" w:sz="8" w:space="0"/>
              <w:bottom w:val="single" w:color="auto" w:sz="8" w:space="0"/>
              <w:right w:val="single" w:color="000000"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i w:val="0"/>
                <w:iCs w:val="0"/>
                <w:caps w:val="0"/>
                <w:color w:val="000000"/>
                <w:spacing w:val="0"/>
                <w:sz w:val="18"/>
                <w:szCs w:val="18"/>
              </w:rPr>
            </w:pPr>
          </w:p>
        </w:tc>
        <w:tc>
          <w:tcPr>
            <w:tcW w:w="1722" w:type="dxa"/>
            <w:vMerge w:val="continue"/>
            <w:tcBorders>
              <w:top w:val="nil"/>
              <w:left w:val="nil"/>
              <w:bottom w:val="single" w:color="auto" w:sz="8" w:space="0"/>
              <w:right w:val="single" w:color="000000"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i w:val="0"/>
                <w:iCs w:val="0"/>
                <w:caps w:val="0"/>
                <w:color w:val="000000"/>
                <w:spacing w:val="0"/>
                <w:sz w:val="18"/>
                <w:szCs w:val="18"/>
              </w:rPr>
            </w:pPr>
          </w:p>
        </w:tc>
        <w:tc>
          <w:tcPr>
            <w:tcW w:w="3390"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i w:val="0"/>
                <w:iCs w:val="0"/>
                <w:caps w:val="0"/>
                <w:color w:val="000000"/>
                <w:spacing w:val="0"/>
                <w:sz w:val="22"/>
                <w:szCs w:val="22"/>
              </w:rPr>
              <w:t>抵押权注销登记</w:t>
            </w:r>
          </w:p>
        </w:tc>
        <w:tc>
          <w:tcPr>
            <w:tcW w:w="3315"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i w:val="0"/>
                <w:iCs w:val="0"/>
                <w:caps w:val="0"/>
                <w:color w:val="000000"/>
                <w:spacing w:val="0"/>
                <w:sz w:val="22"/>
                <w:szCs w:val="22"/>
              </w:rPr>
              <w:t>自治区自然资源厅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0" w:hRule="atLeast"/>
          <w:jc w:val="center"/>
        </w:trPr>
        <w:tc>
          <w:tcPr>
            <w:tcW w:w="1027" w:type="dxa"/>
            <w:vMerge w:val="restart"/>
            <w:tcBorders>
              <w:top w:val="nil"/>
              <w:left w:val="single" w:color="000000" w:sz="8" w:space="0"/>
              <w:bottom w:val="single" w:color="auto" w:sz="8" w:space="0"/>
              <w:right w:val="single" w:color="000000"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i w:val="0"/>
                <w:iCs w:val="0"/>
                <w:caps w:val="0"/>
                <w:color w:val="000000"/>
                <w:spacing w:val="0"/>
                <w:sz w:val="22"/>
                <w:szCs w:val="22"/>
              </w:rPr>
              <w:t>3</w:t>
            </w:r>
          </w:p>
        </w:tc>
        <w:tc>
          <w:tcPr>
            <w:tcW w:w="1722" w:type="dxa"/>
            <w:vMerge w:val="restart"/>
            <w:tcBorders>
              <w:top w:val="nil"/>
              <w:left w:val="nil"/>
              <w:bottom w:val="single" w:color="auto" w:sz="8" w:space="0"/>
              <w:right w:val="single" w:color="000000"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i w:val="0"/>
                <w:iCs w:val="0"/>
                <w:caps w:val="0"/>
                <w:color w:val="000000"/>
                <w:spacing w:val="0"/>
                <w:sz w:val="22"/>
                <w:szCs w:val="22"/>
              </w:rPr>
              <w:t>城乡居民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i w:val="0"/>
                <w:iCs w:val="0"/>
                <w:caps w:val="0"/>
                <w:color w:val="000000"/>
                <w:spacing w:val="0"/>
                <w:sz w:val="22"/>
                <w:szCs w:val="22"/>
              </w:rPr>
              <w:t>参保缴费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i w:val="0"/>
                <w:iCs w:val="0"/>
                <w:caps w:val="0"/>
                <w:color w:val="000000"/>
                <w:spacing w:val="0"/>
                <w:sz w:val="22"/>
                <w:szCs w:val="22"/>
              </w:rPr>
              <w:t>“一件事”</w:t>
            </w:r>
          </w:p>
        </w:tc>
        <w:tc>
          <w:tcPr>
            <w:tcW w:w="3390"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i w:val="0"/>
                <w:iCs w:val="0"/>
                <w:caps w:val="0"/>
                <w:color w:val="000000"/>
                <w:spacing w:val="0"/>
                <w:sz w:val="22"/>
                <w:szCs w:val="22"/>
              </w:rPr>
              <w:t>城乡居民医疗保险参保登记</w:t>
            </w:r>
          </w:p>
        </w:tc>
        <w:tc>
          <w:tcPr>
            <w:tcW w:w="3315"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i w:val="0"/>
                <w:iCs w:val="0"/>
                <w:caps w:val="0"/>
                <w:color w:val="000000"/>
                <w:spacing w:val="0"/>
                <w:sz w:val="22"/>
                <w:szCs w:val="22"/>
              </w:rPr>
              <w:t>★自治区医疗保障局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0" w:hRule="atLeast"/>
          <w:jc w:val="center"/>
        </w:trPr>
        <w:tc>
          <w:tcPr>
            <w:tcW w:w="1027" w:type="dxa"/>
            <w:vMerge w:val="continue"/>
            <w:tcBorders>
              <w:top w:val="nil"/>
              <w:left w:val="single" w:color="000000" w:sz="8" w:space="0"/>
              <w:bottom w:val="single" w:color="auto" w:sz="8" w:space="0"/>
              <w:right w:val="single" w:color="000000"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i w:val="0"/>
                <w:iCs w:val="0"/>
                <w:caps w:val="0"/>
                <w:color w:val="000000"/>
                <w:spacing w:val="0"/>
                <w:sz w:val="18"/>
                <w:szCs w:val="18"/>
              </w:rPr>
            </w:pPr>
          </w:p>
        </w:tc>
        <w:tc>
          <w:tcPr>
            <w:tcW w:w="1722" w:type="dxa"/>
            <w:vMerge w:val="continue"/>
            <w:tcBorders>
              <w:top w:val="nil"/>
              <w:left w:val="nil"/>
              <w:bottom w:val="single" w:color="auto" w:sz="8" w:space="0"/>
              <w:right w:val="single" w:color="000000"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i w:val="0"/>
                <w:iCs w:val="0"/>
                <w:caps w:val="0"/>
                <w:color w:val="000000"/>
                <w:spacing w:val="0"/>
                <w:sz w:val="18"/>
                <w:szCs w:val="18"/>
              </w:rPr>
            </w:pPr>
          </w:p>
        </w:tc>
        <w:tc>
          <w:tcPr>
            <w:tcW w:w="3390"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i w:val="0"/>
                <w:iCs w:val="0"/>
                <w:caps w:val="0"/>
                <w:color w:val="000000"/>
                <w:spacing w:val="0"/>
                <w:sz w:val="22"/>
                <w:szCs w:val="22"/>
              </w:rPr>
              <w:t>城乡居民养老保险参保登记</w:t>
            </w:r>
          </w:p>
        </w:tc>
        <w:tc>
          <w:tcPr>
            <w:tcW w:w="3315"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i w:val="0"/>
                <w:iCs w:val="0"/>
                <w:caps w:val="0"/>
                <w:color w:val="000000"/>
                <w:spacing w:val="0"/>
                <w:sz w:val="22"/>
                <w:szCs w:val="22"/>
              </w:rPr>
              <w:t>自治区人力资源和社会保障厅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0" w:hRule="atLeast"/>
          <w:jc w:val="center"/>
        </w:trPr>
        <w:tc>
          <w:tcPr>
            <w:tcW w:w="1027" w:type="dxa"/>
            <w:vMerge w:val="continue"/>
            <w:tcBorders>
              <w:top w:val="nil"/>
              <w:left w:val="single" w:color="000000" w:sz="8" w:space="0"/>
              <w:bottom w:val="single" w:color="auto" w:sz="8" w:space="0"/>
              <w:right w:val="single" w:color="000000"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i w:val="0"/>
                <w:iCs w:val="0"/>
                <w:caps w:val="0"/>
                <w:color w:val="000000"/>
                <w:spacing w:val="0"/>
                <w:sz w:val="18"/>
                <w:szCs w:val="18"/>
              </w:rPr>
            </w:pPr>
          </w:p>
        </w:tc>
        <w:tc>
          <w:tcPr>
            <w:tcW w:w="1722" w:type="dxa"/>
            <w:vMerge w:val="continue"/>
            <w:tcBorders>
              <w:top w:val="nil"/>
              <w:left w:val="nil"/>
              <w:bottom w:val="single" w:color="auto" w:sz="8" w:space="0"/>
              <w:right w:val="single" w:color="000000"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i w:val="0"/>
                <w:iCs w:val="0"/>
                <w:caps w:val="0"/>
                <w:color w:val="000000"/>
                <w:spacing w:val="0"/>
                <w:sz w:val="18"/>
                <w:szCs w:val="18"/>
              </w:rPr>
            </w:pPr>
          </w:p>
        </w:tc>
        <w:tc>
          <w:tcPr>
            <w:tcW w:w="3390"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i w:val="0"/>
                <w:iCs w:val="0"/>
                <w:caps w:val="0"/>
                <w:color w:val="000000"/>
                <w:spacing w:val="0"/>
                <w:sz w:val="22"/>
                <w:szCs w:val="22"/>
              </w:rPr>
              <w:t>社会保险费缴纳</w:t>
            </w:r>
          </w:p>
        </w:tc>
        <w:tc>
          <w:tcPr>
            <w:tcW w:w="3315"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i w:val="0"/>
                <w:iCs w:val="0"/>
                <w:caps w:val="0"/>
                <w:color w:val="000000"/>
                <w:spacing w:val="0"/>
                <w:sz w:val="22"/>
                <w:szCs w:val="22"/>
              </w:rPr>
              <w:t>新疆税务局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0" w:hRule="atLeast"/>
          <w:jc w:val="center"/>
        </w:trPr>
        <w:tc>
          <w:tcPr>
            <w:tcW w:w="1027" w:type="dxa"/>
            <w:vMerge w:val="restart"/>
            <w:tcBorders>
              <w:top w:val="nil"/>
              <w:left w:val="single" w:color="auto" w:sz="8" w:space="0"/>
              <w:bottom w:val="single" w:color="auto" w:sz="8" w:space="0"/>
              <w:right w:val="single" w:color="000000"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i w:val="0"/>
                <w:iCs w:val="0"/>
                <w:caps w:val="0"/>
                <w:color w:val="000000"/>
                <w:spacing w:val="0"/>
                <w:sz w:val="22"/>
                <w:szCs w:val="22"/>
              </w:rPr>
              <w:t>4</w:t>
            </w:r>
          </w:p>
        </w:tc>
        <w:tc>
          <w:tcPr>
            <w:tcW w:w="1722"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i w:val="0"/>
                <w:iCs w:val="0"/>
                <w:caps w:val="0"/>
                <w:color w:val="000000"/>
                <w:spacing w:val="0"/>
                <w:sz w:val="22"/>
                <w:szCs w:val="22"/>
              </w:rPr>
              <w:t>开旅馆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i w:val="0"/>
                <w:iCs w:val="0"/>
                <w:caps w:val="0"/>
                <w:color w:val="000000"/>
                <w:spacing w:val="0"/>
                <w:sz w:val="22"/>
                <w:szCs w:val="22"/>
              </w:rPr>
              <w:t>“一件事”</w:t>
            </w:r>
          </w:p>
        </w:tc>
        <w:tc>
          <w:tcPr>
            <w:tcW w:w="3390"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i w:val="0"/>
                <w:iCs w:val="0"/>
                <w:caps w:val="0"/>
                <w:color w:val="000000"/>
                <w:spacing w:val="0"/>
                <w:sz w:val="22"/>
                <w:szCs w:val="22"/>
              </w:rPr>
              <w:t>企业营业执照信息核验</w:t>
            </w:r>
          </w:p>
        </w:tc>
        <w:tc>
          <w:tcPr>
            <w:tcW w:w="3315"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i w:val="0"/>
                <w:iCs w:val="0"/>
                <w:caps w:val="0"/>
                <w:color w:val="000000"/>
                <w:spacing w:val="0"/>
                <w:sz w:val="22"/>
                <w:szCs w:val="22"/>
              </w:rPr>
              <w:t>自治区市场监督管理局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0" w:hRule="atLeast"/>
          <w:jc w:val="center"/>
        </w:trPr>
        <w:tc>
          <w:tcPr>
            <w:tcW w:w="1027" w:type="dxa"/>
            <w:vMerge w:val="continue"/>
            <w:tcBorders>
              <w:top w:val="nil"/>
              <w:left w:val="single" w:color="auto" w:sz="8" w:space="0"/>
              <w:bottom w:val="single" w:color="auto" w:sz="8" w:space="0"/>
              <w:right w:val="single" w:color="000000"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i w:val="0"/>
                <w:iCs w:val="0"/>
                <w:caps w:val="0"/>
                <w:color w:val="000000"/>
                <w:spacing w:val="0"/>
                <w:sz w:val="18"/>
                <w:szCs w:val="18"/>
              </w:rPr>
            </w:pPr>
          </w:p>
        </w:tc>
        <w:tc>
          <w:tcPr>
            <w:tcW w:w="1722"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i w:val="0"/>
                <w:iCs w:val="0"/>
                <w:caps w:val="0"/>
                <w:color w:val="000000"/>
                <w:spacing w:val="0"/>
                <w:sz w:val="18"/>
                <w:szCs w:val="18"/>
              </w:rPr>
            </w:pPr>
          </w:p>
        </w:tc>
        <w:tc>
          <w:tcPr>
            <w:tcW w:w="3390"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i w:val="0"/>
                <w:iCs w:val="0"/>
                <w:caps w:val="0"/>
                <w:color w:val="000000"/>
                <w:spacing w:val="0"/>
                <w:sz w:val="22"/>
                <w:szCs w:val="22"/>
              </w:rPr>
              <w:t>食品经营许可</w:t>
            </w:r>
          </w:p>
        </w:tc>
        <w:tc>
          <w:tcPr>
            <w:tcW w:w="3315"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i w:val="0"/>
                <w:iCs w:val="0"/>
                <w:caps w:val="0"/>
                <w:color w:val="000000"/>
                <w:spacing w:val="0"/>
                <w:sz w:val="22"/>
                <w:szCs w:val="22"/>
              </w:rPr>
              <w:t>自治区市场监督管理局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0" w:hRule="atLeast"/>
          <w:jc w:val="center"/>
        </w:trPr>
        <w:tc>
          <w:tcPr>
            <w:tcW w:w="1027" w:type="dxa"/>
            <w:vMerge w:val="continue"/>
            <w:tcBorders>
              <w:top w:val="nil"/>
              <w:left w:val="single" w:color="auto" w:sz="8" w:space="0"/>
              <w:bottom w:val="single" w:color="auto" w:sz="8" w:space="0"/>
              <w:right w:val="single" w:color="000000"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i w:val="0"/>
                <w:iCs w:val="0"/>
                <w:caps w:val="0"/>
                <w:color w:val="000000"/>
                <w:spacing w:val="0"/>
                <w:sz w:val="18"/>
                <w:szCs w:val="18"/>
              </w:rPr>
            </w:pPr>
          </w:p>
        </w:tc>
        <w:tc>
          <w:tcPr>
            <w:tcW w:w="1722"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i w:val="0"/>
                <w:iCs w:val="0"/>
                <w:caps w:val="0"/>
                <w:color w:val="000000"/>
                <w:spacing w:val="0"/>
                <w:sz w:val="18"/>
                <w:szCs w:val="18"/>
              </w:rPr>
            </w:pPr>
          </w:p>
        </w:tc>
        <w:tc>
          <w:tcPr>
            <w:tcW w:w="3390"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i w:val="0"/>
                <w:iCs w:val="0"/>
                <w:caps w:val="0"/>
                <w:color w:val="000000"/>
                <w:spacing w:val="0"/>
                <w:sz w:val="22"/>
                <w:szCs w:val="22"/>
              </w:rPr>
              <w:t>旅馆业特种行业许可</w:t>
            </w:r>
          </w:p>
        </w:tc>
        <w:tc>
          <w:tcPr>
            <w:tcW w:w="3315"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i w:val="0"/>
                <w:iCs w:val="0"/>
                <w:caps w:val="0"/>
                <w:color w:val="000000"/>
                <w:spacing w:val="0"/>
                <w:sz w:val="22"/>
                <w:szCs w:val="22"/>
              </w:rPr>
              <w:t>★自治区公安厅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0" w:hRule="atLeast"/>
          <w:jc w:val="center"/>
        </w:trPr>
        <w:tc>
          <w:tcPr>
            <w:tcW w:w="1027" w:type="dxa"/>
            <w:vMerge w:val="continue"/>
            <w:tcBorders>
              <w:top w:val="nil"/>
              <w:left w:val="single" w:color="auto" w:sz="8" w:space="0"/>
              <w:bottom w:val="single" w:color="auto" w:sz="8" w:space="0"/>
              <w:right w:val="single" w:color="000000"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i w:val="0"/>
                <w:iCs w:val="0"/>
                <w:caps w:val="0"/>
                <w:color w:val="000000"/>
                <w:spacing w:val="0"/>
                <w:sz w:val="18"/>
                <w:szCs w:val="18"/>
              </w:rPr>
            </w:pPr>
          </w:p>
        </w:tc>
        <w:tc>
          <w:tcPr>
            <w:tcW w:w="1722"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i w:val="0"/>
                <w:iCs w:val="0"/>
                <w:caps w:val="0"/>
                <w:color w:val="000000"/>
                <w:spacing w:val="0"/>
                <w:sz w:val="18"/>
                <w:szCs w:val="18"/>
              </w:rPr>
            </w:pPr>
          </w:p>
        </w:tc>
        <w:tc>
          <w:tcPr>
            <w:tcW w:w="3390"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i w:val="0"/>
                <w:iCs w:val="0"/>
                <w:caps w:val="0"/>
                <w:color w:val="000000"/>
                <w:spacing w:val="0"/>
                <w:sz w:val="22"/>
                <w:szCs w:val="22"/>
              </w:rPr>
              <w:t>公共场所卫生许可</w:t>
            </w:r>
          </w:p>
        </w:tc>
        <w:tc>
          <w:tcPr>
            <w:tcW w:w="3315"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i w:val="0"/>
                <w:iCs w:val="0"/>
                <w:caps w:val="0"/>
                <w:color w:val="000000"/>
                <w:spacing w:val="0"/>
                <w:sz w:val="22"/>
                <w:szCs w:val="22"/>
              </w:rPr>
              <w:t>自治区卫生健康委员会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0" w:hRule="atLeast"/>
          <w:jc w:val="center"/>
        </w:trPr>
        <w:tc>
          <w:tcPr>
            <w:tcW w:w="1027" w:type="dxa"/>
            <w:vMerge w:val="continue"/>
            <w:tcBorders>
              <w:top w:val="nil"/>
              <w:left w:val="single" w:color="auto" w:sz="8" w:space="0"/>
              <w:bottom w:val="single" w:color="auto" w:sz="8" w:space="0"/>
              <w:right w:val="single" w:color="000000"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i w:val="0"/>
                <w:iCs w:val="0"/>
                <w:caps w:val="0"/>
                <w:color w:val="000000"/>
                <w:spacing w:val="0"/>
                <w:sz w:val="18"/>
                <w:szCs w:val="18"/>
              </w:rPr>
            </w:pPr>
          </w:p>
        </w:tc>
        <w:tc>
          <w:tcPr>
            <w:tcW w:w="1722"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i w:val="0"/>
                <w:iCs w:val="0"/>
                <w:caps w:val="0"/>
                <w:color w:val="000000"/>
                <w:spacing w:val="0"/>
                <w:sz w:val="18"/>
                <w:szCs w:val="18"/>
              </w:rPr>
            </w:pPr>
          </w:p>
        </w:tc>
        <w:tc>
          <w:tcPr>
            <w:tcW w:w="3390"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i w:val="0"/>
                <w:iCs w:val="0"/>
                <w:caps w:val="0"/>
                <w:color w:val="000000"/>
                <w:spacing w:val="0"/>
                <w:sz w:val="22"/>
                <w:szCs w:val="22"/>
              </w:rPr>
              <w:t>公众聚集场所投入使用、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i w:val="0"/>
                <w:iCs w:val="0"/>
                <w:caps w:val="0"/>
                <w:color w:val="000000"/>
                <w:spacing w:val="0"/>
                <w:sz w:val="22"/>
                <w:szCs w:val="22"/>
              </w:rPr>
              <w:t>营业前消防安全检查</w:t>
            </w:r>
          </w:p>
        </w:tc>
        <w:tc>
          <w:tcPr>
            <w:tcW w:w="3315"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i w:val="0"/>
                <w:iCs w:val="0"/>
                <w:caps w:val="0"/>
                <w:color w:val="000000"/>
                <w:spacing w:val="0"/>
                <w:sz w:val="22"/>
                <w:szCs w:val="22"/>
              </w:rPr>
              <w:t>新疆消防救援总队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0" w:hRule="atLeast"/>
          <w:jc w:val="center"/>
        </w:trPr>
        <w:tc>
          <w:tcPr>
            <w:tcW w:w="1027" w:type="dxa"/>
            <w:vMerge w:val="continue"/>
            <w:tcBorders>
              <w:top w:val="nil"/>
              <w:left w:val="single" w:color="auto" w:sz="8" w:space="0"/>
              <w:bottom w:val="single" w:color="auto" w:sz="8" w:space="0"/>
              <w:right w:val="single" w:color="000000"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i w:val="0"/>
                <w:iCs w:val="0"/>
                <w:caps w:val="0"/>
                <w:color w:val="000000"/>
                <w:spacing w:val="0"/>
                <w:sz w:val="18"/>
                <w:szCs w:val="18"/>
              </w:rPr>
            </w:pPr>
          </w:p>
        </w:tc>
        <w:tc>
          <w:tcPr>
            <w:tcW w:w="1722"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i w:val="0"/>
                <w:iCs w:val="0"/>
                <w:caps w:val="0"/>
                <w:color w:val="000000"/>
                <w:spacing w:val="0"/>
                <w:sz w:val="18"/>
                <w:szCs w:val="18"/>
              </w:rPr>
            </w:pPr>
          </w:p>
        </w:tc>
        <w:tc>
          <w:tcPr>
            <w:tcW w:w="3390"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i w:val="0"/>
                <w:iCs w:val="0"/>
                <w:caps w:val="0"/>
                <w:color w:val="000000"/>
                <w:spacing w:val="0"/>
                <w:sz w:val="22"/>
                <w:szCs w:val="22"/>
              </w:rPr>
              <w:t>户外招牌设施登记备案</w:t>
            </w:r>
          </w:p>
        </w:tc>
        <w:tc>
          <w:tcPr>
            <w:tcW w:w="3315"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宋体" w:hAnsi="宋体" w:eastAsia="宋体" w:cs="宋体"/>
                <w:i w:val="0"/>
                <w:iCs w:val="0"/>
                <w:caps w:val="0"/>
                <w:color w:val="000000"/>
                <w:spacing w:val="0"/>
                <w:sz w:val="22"/>
                <w:szCs w:val="22"/>
              </w:rPr>
              <w:t>自治区住房和城乡建设厅</w:t>
            </w:r>
          </w:p>
        </w:tc>
      </w:tr>
    </w:tbl>
    <w:p>
      <w:pPr>
        <w:keepNext w:val="0"/>
        <w:keepLines w:val="0"/>
        <w:widowControl/>
        <w:suppressLineNumbers w:val="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ascii="Calibri" w:hAnsi="Calibri" w:cs="Calibri"/>
          <w:i w:val="0"/>
          <w:iCs w:val="0"/>
          <w:caps w:val="0"/>
          <w:color w:val="000000"/>
          <w:spacing w:val="0"/>
          <w:sz w:val="21"/>
          <w:szCs w:val="21"/>
        </w:rPr>
      </w:pPr>
      <w:r>
        <w:rPr>
          <w:rFonts w:ascii="方正黑体_GBK" w:hAnsi="方正黑体_GBK" w:eastAsia="方正黑体_GBK" w:cs="方正黑体_GBK"/>
          <w:i w:val="0"/>
          <w:iCs w:val="0"/>
          <w:caps w:val="0"/>
          <w:color w:val="000000"/>
          <w:spacing w:val="0"/>
          <w:sz w:val="32"/>
          <w:szCs w:val="32"/>
          <w:shd w:val="clear" w:fill="FFFFFF"/>
        </w:rPr>
        <w:t>附件</w:t>
      </w:r>
      <w:r>
        <w:rPr>
          <w:rFonts w:hint="default" w:ascii="Times New Roman" w:hAnsi="Times New Roman" w:cs="Times New Roman"/>
          <w:i w:val="0"/>
          <w:iCs w:val="0"/>
          <w:caps w:val="0"/>
          <w:color w:val="000000"/>
          <w:spacing w:val="0"/>
          <w:sz w:val="32"/>
          <w:szCs w:val="32"/>
          <w:shd w:val="clear" w:fill="FFFFFF"/>
        </w:rPr>
        <w:t>3</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default" w:ascii="Calibri" w:hAnsi="Calibri" w:cs="Calibri"/>
          <w:i w:val="0"/>
          <w:iCs w:val="0"/>
          <w:caps w:val="0"/>
          <w:color w:val="000000"/>
          <w:spacing w:val="0"/>
          <w:sz w:val="21"/>
          <w:szCs w:val="21"/>
        </w:rPr>
      </w:pPr>
      <w:r>
        <w:rPr>
          <w:rFonts w:hint="default" w:ascii="Calibri" w:hAnsi="Calibri" w:cs="Calibri"/>
          <w:i w:val="0"/>
          <w:iCs w:val="0"/>
          <w:caps w:val="0"/>
          <w:color w:val="000000"/>
          <w:spacing w:val="0"/>
          <w:sz w:val="21"/>
          <w:szCs w:val="21"/>
          <w:shd w:val="clear" w:fill="FFFFFF"/>
        </w:rPr>
        <w:t> </w:t>
      </w:r>
      <w:r>
        <w:rPr>
          <w:rFonts w:hint="default" w:ascii="Times New Roman" w:hAnsi="Times New Roman" w:cs="Times New Roman"/>
          <w:i w:val="0"/>
          <w:iCs w:val="0"/>
          <w:caps w:val="0"/>
          <w:color w:val="000000"/>
          <w:spacing w:val="0"/>
          <w:sz w:val="44"/>
          <w:szCs w:val="44"/>
          <w:shd w:val="clear" w:fill="FFFFFF"/>
        </w:rPr>
        <w:t>2024</w:t>
      </w:r>
      <w:r>
        <w:rPr>
          <w:rFonts w:ascii="方正小标宋简体" w:hAnsi="方正小标宋简体" w:eastAsia="方正小标宋简体" w:cs="方正小标宋简体"/>
          <w:i w:val="0"/>
          <w:iCs w:val="0"/>
          <w:caps w:val="0"/>
          <w:color w:val="000000"/>
          <w:spacing w:val="0"/>
          <w:sz w:val="44"/>
          <w:szCs w:val="44"/>
          <w:shd w:val="clear" w:fill="FFFFFF"/>
        </w:rPr>
        <w:t>年度</w:t>
      </w:r>
      <w:r>
        <w:rPr>
          <w:rFonts w:hint="default" w:ascii="Times New Roman" w:hAnsi="Times New Roman" w:cs="Times New Roman"/>
          <w:i w:val="0"/>
          <w:iCs w:val="0"/>
          <w:caps w:val="0"/>
          <w:color w:val="000000"/>
          <w:spacing w:val="0"/>
          <w:sz w:val="44"/>
          <w:szCs w:val="44"/>
          <w:shd w:val="clear" w:fill="FFFFFF"/>
        </w:rPr>
        <w:t>20</w:t>
      </w:r>
      <w:r>
        <w:rPr>
          <w:rFonts w:hint="eastAsia" w:ascii="方正小标宋简体" w:hAnsi="方正小标宋简体" w:eastAsia="方正小标宋简体" w:cs="方正小标宋简体"/>
          <w:i w:val="0"/>
          <w:iCs w:val="0"/>
          <w:caps w:val="0"/>
          <w:color w:val="000000"/>
          <w:spacing w:val="0"/>
          <w:sz w:val="44"/>
          <w:szCs w:val="44"/>
          <w:shd w:val="clear" w:fill="FFFFFF"/>
        </w:rPr>
        <w:t>项“一类事一站办”专题清单</w:t>
      </w:r>
    </w:p>
    <w:tbl>
      <w:tblPr>
        <w:tblStyle w:val="4"/>
        <w:tblW w:w="97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900"/>
        <w:gridCol w:w="2063"/>
        <w:gridCol w:w="3007"/>
        <w:gridCol w:w="37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24" w:hRule="atLeast"/>
          <w:jc w:val="center"/>
        </w:trPr>
        <w:tc>
          <w:tcPr>
            <w:tcW w:w="90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Calibri" w:hAnsi="Calibri" w:cs="Calibri"/>
                <w:sz w:val="21"/>
                <w:szCs w:val="21"/>
              </w:rPr>
            </w:pPr>
            <w:r>
              <w:rPr>
                <w:rFonts w:hint="eastAsia" w:ascii="宋体" w:hAnsi="宋体" w:eastAsia="宋体" w:cs="宋体"/>
                <w:b/>
                <w:bCs/>
                <w:sz w:val="24"/>
                <w:szCs w:val="24"/>
              </w:rPr>
              <w:t>序号</w:t>
            </w:r>
          </w:p>
        </w:tc>
        <w:tc>
          <w:tcPr>
            <w:tcW w:w="2063" w:type="dxa"/>
            <w:tcBorders>
              <w:top w:val="single" w:color="000000" w:sz="8" w:space="0"/>
              <w:left w:val="nil"/>
              <w:bottom w:val="single" w:color="000000" w:sz="8" w:space="0"/>
              <w:right w:val="single" w:color="000000"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b/>
                <w:bCs/>
                <w:sz w:val="24"/>
                <w:szCs w:val="24"/>
              </w:rPr>
              <w:t>“一类事”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b/>
                <w:bCs/>
                <w:sz w:val="24"/>
                <w:szCs w:val="24"/>
              </w:rPr>
              <w:t>专题名称</w:t>
            </w:r>
          </w:p>
        </w:tc>
        <w:tc>
          <w:tcPr>
            <w:tcW w:w="3007" w:type="dxa"/>
            <w:tcBorders>
              <w:top w:val="single" w:color="000000" w:sz="8" w:space="0"/>
              <w:left w:val="nil"/>
              <w:bottom w:val="single" w:color="000000" w:sz="8" w:space="0"/>
              <w:right w:val="single" w:color="000000"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b/>
                <w:bCs/>
                <w:sz w:val="24"/>
                <w:szCs w:val="24"/>
              </w:rPr>
              <w:t>牵头部门</w:t>
            </w:r>
          </w:p>
        </w:tc>
        <w:tc>
          <w:tcPr>
            <w:tcW w:w="3750" w:type="dxa"/>
            <w:tcBorders>
              <w:top w:val="single" w:color="000000" w:sz="8" w:space="0"/>
              <w:left w:val="nil"/>
              <w:bottom w:val="single" w:color="000000" w:sz="8" w:space="0"/>
              <w:right w:val="single" w:color="000000"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b/>
                <w:bCs/>
                <w:sz w:val="24"/>
                <w:szCs w:val="24"/>
              </w:rPr>
              <w:t>配合部门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4" w:hRule="atLeast"/>
          <w:jc w:val="center"/>
        </w:trPr>
        <w:tc>
          <w:tcPr>
            <w:tcW w:w="900" w:type="dxa"/>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宋体" w:cs="Times New Roman"/>
                <w:sz w:val="24"/>
                <w:szCs w:val="24"/>
              </w:rPr>
              <w:t>1</w:t>
            </w:r>
          </w:p>
        </w:tc>
        <w:tc>
          <w:tcPr>
            <w:tcW w:w="2063" w:type="dxa"/>
            <w:tcBorders>
              <w:top w:val="nil"/>
              <w:left w:val="nil"/>
              <w:bottom w:val="single" w:color="000000" w:sz="8" w:space="0"/>
              <w:right w:val="single" w:color="000000" w:sz="8" w:space="0"/>
            </w:tcBorders>
            <w:shd w:val="clear" w:color="auto" w:fill="auto"/>
            <w:noWrap/>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幼有所育</w:t>
            </w:r>
          </w:p>
        </w:tc>
        <w:tc>
          <w:tcPr>
            <w:tcW w:w="3007" w:type="dxa"/>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自治区卫生健康委员会</w:t>
            </w:r>
          </w:p>
        </w:tc>
        <w:tc>
          <w:tcPr>
            <w:tcW w:w="3750" w:type="dxa"/>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自治区教育厅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4" w:hRule="atLeast"/>
          <w:jc w:val="center"/>
        </w:trPr>
        <w:tc>
          <w:tcPr>
            <w:tcW w:w="900" w:type="dxa"/>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宋体" w:cs="Times New Roman"/>
                <w:sz w:val="24"/>
                <w:szCs w:val="24"/>
              </w:rPr>
              <w:t>2</w:t>
            </w:r>
          </w:p>
        </w:tc>
        <w:tc>
          <w:tcPr>
            <w:tcW w:w="2063" w:type="dxa"/>
            <w:tcBorders>
              <w:top w:val="nil"/>
              <w:left w:val="nil"/>
              <w:bottom w:val="single" w:color="000000" w:sz="8" w:space="0"/>
              <w:right w:val="single" w:color="000000" w:sz="8" w:space="0"/>
            </w:tcBorders>
            <w:shd w:val="clear" w:color="auto" w:fill="auto"/>
            <w:noWrap/>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学有所教</w:t>
            </w:r>
          </w:p>
        </w:tc>
        <w:tc>
          <w:tcPr>
            <w:tcW w:w="3007" w:type="dxa"/>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自治区教育厅</w:t>
            </w:r>
          </w:p>
        </w:tc>
        <w:tc>
          <w:tcPr>
            <w:tcW w:w="3750" w:type="dxa"/>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自治区人力资源和社会保障厅、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自治区民政厅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4" w:hRule="atLeast"/>
          <w:jc w:val="center"/>
        </w:trPr>
        <w:tc>
          <w:tcPr>
            <w:tcW w:w="900" w:type="dxa"/>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宋体" w:cs="Times New Roman"/>
                <w:sz w:val="24"/>
                <w:szCs w:val="24"/>
              </w:rPr>
              <w:t>3</w:t>
            </w:r>
          </w:p>
        </w:tc>
        <w:tc>
          <w:tcPr>
            <w:tcW w:w="2063" w:type="dxa"/>
            <w:tcBorders>
              <w:top w:val="nil"/>
              <w:left w:val="nil"/>
              <w:bottom w:val="single" w:color="000000" w:sz="8" w:space="0"/>
              <w:right w:val="single" w:color="000000" w:sz="8" w:space="0"/>
            </w:tcBorders>
            <w:shd w:val="clear" w:color="auto" w:fill="auto"/>
            <w:noWrap/>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行有所便</w:t>
            </w:r>
          </w:p>
        </w:tc>
        <w:tc>
          <w:tcPr>
            <w:tcW w:w="3007" w:type="dxa"/>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自治区交通运输厅</w:t>
            </w:r>
          </w:p>
        </w:tc>
        <w:tc>
          <w:tcPr>
            <w:tcW w:w="3750" w:type="dxa"/>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自治区住房和城乡建设厅、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自治区生态环境厅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4" w:hRule="atLeast"/>
          <w:jc w:val="center"/>
        </w:trPr>
        <w:tc>
          <w:tcPr>
            <w:tcW w:w="900" w:type="dxa"/>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宋体" w:cs="Times New Roman"/>
                <w:sz w:val="24"/>
                <w:szCs w:val="24"/>
              </w:rPr>
              <w:t>4</w:t>
            </w:r>
          </w:p>
        </w:tc>
        <w:tc>
          <w:tcPr>
            <w:tcW w:w="2063" w:type="dxa"/>
            <w:tcBorders>
              <w:top w:val="nil"/>
              <w:left w:val="nil"/>
              <w:bottom w:val="single" w:color="000000" w:sz="8" w:space="0"/>
              <w:right w:val="single" w:color="000000" w:sz="8" w:space="0"/>
            </w:tcBorders>
            <w:shd w:val="clear" w:color="auto" w:fill="auto"/>
            <w:noWrap/>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住有所居</w:t>
            </w:r>
          </w:p>
        </w:tc>
        <w:tc>
          <w:tcPr>
            <w:tcW w:w="3007" w:type="dxa"/>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自治区住房和城乡建设厅</w:t>
            </w:r>
          </w:p>
        </w:tc>
        <w:tc>
          <w:tcPr>
            <w:tcW w:w="3750" w:type="dxa"/>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自治区文化和旅游厅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4" w:hRule="atLeast"/>
          <w:jc w:val="center"/>
        </w:trPr>
        <w:tc>
          <w:tcPr>
            <w:tcW w:w="900" w:type="dxa"/>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宋体" w:cs="Times New Roman"/>
                <w:sz w:val="24"/>
                <w:szCs w:val="24"/>
              </w:rPr>
              <w:t>5</w:t>
            </w:r>
          </w:p>
        </w:tc>
        <w:tc>
          <w:tcPr>
            <w:tcW w:w="2063" w:type="dxa"/>
            <w:tcBorders>
              <w:top w:val="nil"/>
              <w:left w:val="nil"/>
              <w:bottom w:val="single" w:color="000000" w:sz="8" w:space="0"/>
              <w:right w:val="single" w:color="000000" w:sz="8" w:space="0"/>
            </w:tcBorders>
            <w:shd w:val="clear" w:color="auto" w:fill="auto"/>
            <w:noWrap/>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职有所培</w:t>
            </w:r>
          </w:p>
        </w:tc>
        <w:tc>
          <w:tcPr>
            <w:tcW w:w="3007" w:type="dxa"/>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自治区人力资源和社会保障厅</w:t>
            </w:r>
          </w:p>
        </w:tc>
        <w:tc>
          <w:tcPr>
            <w:tcW w:w="3750" w:type="dxa"/>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自治区教育厅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4" w:hRule="atLeast"/>
          <w:jc w:val="center"/>
        </w:trPr>
        <w:tc>
          <w:tcPr>
            <w:tcW w:w="900" w:type="dxa"/>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宋体" w:cs="Times New Roman"/>
                <w:sz w:val="24"/>
                <w:szCs w:val="24"/>
              </w:rPr>
              <w:t>6</w:t>
            </w:r>
          </w:p>
        </w:tc>
        <w:tc>
          <w:tcPr>
            <w:tcW w:w="2063" w:type="dxa"/>
            <w:tcBorders>
              <w:top w:val="nil"/>
              <w:left w:val="nil"/>
              <w:bottom w:val="single" w:color="000000" w:sz="8" w:space="0"/>
              <w:right w:val="single" w:color="000000" w:sz="8" w:space="0"/>
            </w:tcBorders>
            <w:shd w:val="clear" w:color="auto" w:fill="auto"/>
            <w:noWrap/>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劳有所得</w:t>
            </w:r>
          </w:p>
        </w:tc>
        <w:tc>
          <w:tcPr>
            <w:tcW w:w="3007" w:type="dxa"/>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自治区人力资源和社会保障厅</w:t>
            </w:r>
          </w:p>
        </w:tc>
        <w:tc>
          <w:tcPr>
            <w:tcW w:w="3750" w:type="dxa"/>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自治区总工会、新疆税务局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4" w:hRule="atLeast"/>
          <w:jc w:val="center"/>
        </w:trPr>
        <w:tc>
          <w:tcPr>
            <w:tcW w:w="900" w:type="dxa"/>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宋体" w:cs="Times New Roman"/>
                <w:sz w:val="24"/>
                <w:szCs w:val="24"/>
              </w:rPr>
              <w:t>7</w:t>
            </w:r>
          </w:p>
        </w:tc>
        <w:tc>
          <w:tcPr>
            <w:tcW w:w="2063" w:type="dxa"/>
            <w:tcBorders>
              <w:top w:val="nil"/>
              <w:left w:val="nil"/>
              <w:bottom w:val="single" w:color="000000" w:sz="8" w:space="0"/>
              <w:right w:val="single" w:color="000000" w:sz="8" w:space="0"/>
            </w:tcBorders>
            <w:shd w:val="clear" w:color="auto" w:fill="auto"/>
            <w:noWrap/>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弱有所扶</w:t>
            </w:r>
          </w:p>
        </w:tc>
        <w:tc>
          <w:tcPr>
            <w:tcW w:w="3007" w:type="dxa"/>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自治区民政厅</w:t>
            </w:r>
          </w:p>
        </w:tc>
        <w:tc>
          <w:tcPr>
            <w:tcW w:w="3750" w:type="dxa"/>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自治区人力资源和社会保障厅、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自治区卫生健康委员会、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自治区残疾人联合会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4" w:hRule="atLeast"/>
          <w:jc w:val="center"/>
        </w:trPr>
        <w:tc>
          <w:tcPr>
            <w:tcW w:w="900" w:type="dxa"/>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宋体" w:cs="Times New Roman"/>
                <w:sz w:val="24"/>
                <w:szCs w:val="24"/>
              </w:rPr>
              <w:t>8</w:t>
            </w:r>
          </w:p>
        </w:tc>
        <w:tc>
          <w:tcPr>
            <w:tcW w:w="2063" w:type="dxa"/>
            <w:tcBorders>
              <w:top w:val="nil"/>
              <w:left w:val="nil"/>
              <w:bottom w:val="single" w:color="000000" w:sz="8" w:space="0"/>
              <w:right w:val="single" w:color="000000" w:sz="8" w:space="0"/>
            </w:tcBorders>
            <w:shd w:val="clear" w:color="auto" w:fill="auto"/>
            <w:noWrap/>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病有所医</w:t>
            </w:r>
          </w:p>
        </w:tc>
        <w:tc>
          <w:tcPr>
            <w:tcW w:w="3007" w:type="dxa"/>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自治区卫生健康委员会</w:t>
            </w:r>
          </w:p>
        </w:tc>
        <w:tc>
          <w:tcPr>
            <w:tcW w:w="3750" w:type="dxa"/>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自治区民政厅、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自治区医疗保障局、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自治区药品监督管理局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4" w:hRule="atLeast"/>
          <w:jc w:val="center"/>
        </w:trPr>
        <w:tc>
          <w:tcPr>
            <w:tcW w:w="900" w:type="dxa"/>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宋体" w:cs="Times New Roman"/>
                <w:sz w:val="24"/>
                <w:szCs w:val="24"/>
              </w:rPr>
              <w:t>9</w:t>
            </w:r>
          </w:p>
        </w:tc>
        <w:tc>
          <w:tcPr>
            <w:tcW w:w="2063" w:type="dxa"/>
            <w:tcBorders>
              <w:top w:val="nil"/>
              <w:left w:val="nil"/>
              <w:bottom w:val="single" w:color="000000" w:sz="8" w:space="0"/>
              <w:right w:val="single" w:color="000000" w:sz="8" w:space="0"/>
            </w:tcBorders>
            <w:shd w:val="clear" w:color="auto" w:fill="auto"/>
            <w:noWrap/>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业有所成</w:t>
            </w:r>
          </w:p>
        </w:tc>
        <w:tc>
          <w:tcPr>
            <w:tcW w:w="3007" w:type="dxa"/>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自治区人力资源和社会保障厅</w:t>
            </w:r>
          </w:p>
        </w:tc>
        <w:tc>
          <w:tcPr>
            <w:tcW w:w="3750" w:type="dxa"/>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自治区市场监督管理局、自治区科学技术厅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4" w:hRule="atLeast"/>
          <w:jc w:val="center"/>
        </w:trPr>
        <w:tc>
          <w:tcPr>
            <w:tcW w:w="900" w:type="dxa"/>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宋体" w:cs="Times New Roman"/>
                <w:sz w:val="24"/>
                <w:szCs w:val="24"/>
              </w:rPr>
              <w:t>10</w:t>
            </w:r>
          </w:p>
        </w:tc>
        <w:tc>
          <w:tcPr>
            <w:tcW w:w="2063" w:type="dxa"/>
            <w:tcBorders>
              <w:top w:val="nil"/>
              <w:left w:val="nil"/>
              <w:bottom w:val="single" w:color="000000" w:sz="8" w:space="0"/>
              <w:right w:val="single" w:color="000000" w:sz="8" w:space="0"/>
            </w:tcBorders>
            <w:shd w:val="clear" w:color="auto" w:fill="auto"/>
            <w:noWrap/>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老有所养</w:t>
            </w:r>
          </w:p>
        </w:tc>
        <w:tc>
          <w:tcPr>
            <w:tcW w:w="3007" w:type="dxa"/>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自治区民政厅</w:t>
            </w:r>
          </w:p>
        </w:tc>
        <w:tc>
          <w:tcPr>
            <w:tcW w:w="3750" w:type="dxa"/>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自治区人力资源和社会保障厅、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自治区卫生健康委员会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4" w:hRule="atLeast"/>
          <w:jc w:val="center"/>
        </w:trPr>
        <w:tc>
          <w:tcPr>
            <w:tcW w:w="900" w:type="dxa"/>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宋体" w:cs="Times New Roman"/>
                <w:sz w:val="24"/>
                <w:szCs w:val="24"/>
              </w:rPr>
              <w:t>12</w:t>
            </w:r>
          </w:p>
        </w:tc>
        <w:tc>
          <w:tcPr>
            <w:tcW w:w="2063" w:type="dxa"/>
            <w:tcBorders>
              <w:top w:val="nil"/>
              <w:left w:val="nil"/>
              <w:bottom w:val="single" w:color="000000" w:sz="8" w:space="0"/>
              <w:right w:val="single" w:color="000000" w:sz="8" w:space="0"/>
            </w:tcBorders>
            <w:shd w:val="clear" w:color="auto" w:fill="auto"/>
            <w:noWrap/>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获得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经营场所</w:t>
            </w:r>
          </w:p>
        </w:tc>
        <w:tc>
          <w:tcPr>
            <w:tcW w:w="3007" w:type="dxa"/>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自治区商务厅</w:t>
            </w:r>
          </w:p>
        </w:tc>
        <w:tc>
          <w:tcPr>
            <w:tcW w:w="3750" w:type="dxa"/>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自治区科学技术厅、自治区自然资源厅、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自治区住房和城乡建设厅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4" w:hRule="atLeast"/>
          <w:jc w:val="center"/>
        </w:trPr>
        <w:tc>
          <w:tcPr>
            <w:tcW w:w="900" w:type="dxa"/>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宋体" w:cs="Times New Roman"/>
                <w:sz w:val="24"/>
                <w:szCs w:val="24"/>
              </w:rPr>
              <w:t>13</w:t>
            </w:r>
          </w:p>
        </w:tc>
        <w:tc>
          <w:tcPr>
            <w:tcW w:w="2063" w:type="dxa"/>
            <w:tcBorders>
              <w:top w:val="nil"/>
              <w:left w:val="nil"/>
              <w:bottom w:val="single" w:color="000000" w:sz="8" w:space="0"/>
              <w:right w:val="single" w:color="000000" w:sz="8" w:space="0"/>
            </w:tcBorders>
            <w:shd w:val="clear" w:color="auto" w:fill="auto"/>
            <w:noWrap/>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市政公用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基础设施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服务</w:t>
            </w:r>
          </w:p>
        </w:tc>
        <w:tc>
          <w:tcPr>
            <w:tcW w:w="3007" w:type="dxa"/>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自治区住房和城乡建设厅</w:t>
            </w:r>
          </w:p>
        </w:tc>
        <w:tc>
          <w:tcPr>
            <w:tcW w:w="3750" w:type="dxa"/>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自治区市场监督管理局、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自治区发展和改革委员会、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自治区自然资源厅、自治区水利厅、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自治区生态环境厅、自治区数字化发展局，国家能源局新疆监管办、新疆通信管理局，国网新疆电力有限公司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4" w:hRule="atLeast"/>
          <w:jc w:val="center"/>
        </w:trPr>
        <w:tc>
          <w:tcPr>
            <w:tcW w:w="900" w:type="dxa"/>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宋体" w:cs="Times New Roman"/>
                <w:sz w:val="24"/>
                <w:szCs w:val="24"/>
              </w:rPr>
              <w:t>14</w:t>
            </w:r>
          </w:p>
        </w:tc>
        <w:tc>
          <w:tcPr>
            <w:tcW w:w="2063" w:type="dxa"/>
            <w:tcBorders>
              <w:top w:val="nil"/>
              <w:left w:val="nil"/>
              <w:bottom w:val="single" w:color="000000" w:sz="8" w:space="0"/>
              <w:right w:val="single" w:color="000000" w:sz="8" w:space="0"/>
            </w:tcBorders>
            <w:shd w:val="clear" w:color="auto" w:fill="auto"/>
            <w:noWrap/>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劳动力</w:t>
            </w:r>
          </w:p>
        </w:tc>
        <w:tc>
          <w:tcPr>
            <w:tcW w:w="3007" w:type="dxa"/>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自治区人力资源和社会保障厅</w:t>
            </w:r>
          </w:p>
        </w:tc>
        <w:tc>
          <w:tcPr>
            <w:tcW w:w="3750" w:type="dxa"/>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新疆税务局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4" w:hRule="atLeast"/>
          <w:jc w:val="center"/>
        </w:trPr>
        <w:tc>
          <w:tcPr>
            <w:tcW w:w="900" w:type="dxa"/>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宋体" w:cs="Times New Roman"/>
                <w:sz w:val="24"/>
                <w:szCs w:val="24"/>
              </w:rPr>
              <w:t>15</w:t>
            </w:r>
          </w:p>
        </w:tc>
        <w:tc>
          <w:tcPr>
            <w:tcW w:w="2063" w:type="dxa"/>
            <w:tcBorders>
              <w:top w:val="nil"/>
              <w:left w:val="nil"/>
              <w:bottom w:val="single" w:color="000000" w:sz="8" w:space="0"/>
              <w:right w:val="single" w:color="000000" w:sz="8" w:space="0"/>
            </w:tcBorders>
            <w:shd w:val="clear" w:color="auto" w:fill="auto"/>
            <w:noWrap/>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金融服务</w:t>
            </w:r>
          </w:p>
        </w:tc>
        <w:tc>
          <w:tcPr>
            <w:tcW w:w="3007" w:type="dxa"/>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自治区地方金融管理局</w:t>
            </w:r>
          </w:p>
        </w:tc>
        <w:tc>
          <w:tcPr>
            <w:tcW w:w="3750" w:type="dxa"/>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eastAsia="宋体" w:cs="Calibri"/>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4" w:hRule="atLeast"/>
          <w:jc w:val="center"/>
        </w:trPr>
        <w:tc>
          <w:tcPr>
            <w:tcW w:w="900" w:type="dxa"/>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宋体" w:cs="Times New Roman"/>
                <w:sz w:val="24"/>
                <w:szCs w:val="24"/>
              </w:rPr>
              <w:t>16</w:t>
            </w:r>
          </w:p>
        </w:tc>
        <w:tc>
          <w:tcPr>
            <w:tcW w:w="2063" w:type="dxa"/>
            <w:tcBorders>
              <w:top w:val="nil"/>
              <w:left w:val="nil"/>
              <w:bottom w:val="single" w:color="000000" w:sz="8" w:space="0"/>
              <w:right w:val="single" w:color="000000" w:sz="8" w:space="0"/>
            </w:tcBorders>
            <w:shd w:val="clear" w:color="auto" w:fill="auto"/>
            <w:noWrap/>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国际贸易</w:t>
            </w:r>
          </w:p>
        </w:tc>
        <w:tc>
          <w:tcPr>
            <w:tcW w:w="3007" w:type="dxa"/>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自治区商务厅</w:t>
            </w:r>
          </w:p>
        </w:tc>
        <w:tc>
          <w:tcPr>
            <w:tcW w:w="3750" w:type="dxa"/>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自治区公安厅、自治区人民政府外事办公室，乌鲁木齐海关、新疆税务局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4" w:hRule="atLeast"/>
          <w:jc w:val="center"/>
        </w:trPr>
        <w:tc>
          <w:tcPr>
            <w:tcW w:w="900" w:type="dxa"/>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宋体" w:cs="Times New Roman"/>
                <w:sz w:val="24"/>
                <w:szCs w:val="24"/>
              </w:rPr>
              <w:t>17</w:t>
            </w:r>
          </w:p>
        </w:tc>
        <w:tc>
          <w:tcPr>
            <w:tcW w:w="2063" w:type="dxa"/>
            <w:tcBorders>
              <w:top w:val="nil"/>
              <w:left w:val="nil"/>
              <w:bottom w:val="single" w:color="000000" w:sz="8" w:space="0"/>
              <w:right w:val="single" w:color="000000" w:sz="8" w:space="0"/>
            </w:tcBorders>
            <w:shd w:val="clear" w:color="auto" w:fill="auto"/>
            <w:noWrap/>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纳税</w:t>
            </w:r>
          </w:p>
        </w:tc>
        <w:tc>
          <w:tcPr>
            <w:tcW w:w="3007" w:type="dxa"/>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新疆税务局</w:t>
            </w:r>
          </w:p>
        </w:tc>
        <w:tc>
          <w:tcPr>
            <w:tcW w:w="3750" w:type="dxa"/>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自治区地方金融管理局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4" w:hRule="atLeast"/>
          <w:jc w:val="center"/>
        </w:trPr>
        <w:tc>
          <w:tcPr>
            <w:tcW w:w="900" w:type="dxa"/>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宋体" w:cs="Times New Roman"/>
                <w:sz w:val="24"/>
                <w:szCs w:val="24"/>
              </w:rPr>
              <w:t>18</w:t>
            </w:r>
          </w:p>
        </w:tc>
        <w:tc>
          <w:tcPr>
            <w:tcW w:w="2063" w:type="dxa"/>
            <w:tcBorders>
              <w:top w:val="nil"/>
              <w:left w:val="nil"/>
              <w:bottom w:val="single" w:color="000000" w:sz="8" w:space="0"/>
              <w:right w:val="single" w:color="000000" w:sz="8" w:space="0"/>
            </w:tcBorders>
            <w:shd w:val="clear" w:color="auto" w:fill="auto"/>
            <w:noWrap/>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争端解决</w:t>
            </w:r>
          </w:p>
        </w:tc>
        <w:tc>
          <w:tcPr>
            <w:tcW w:w="3007" w:type="dxa"/>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自治区高级人民法院、自治区人力资源和社会保障厅、自治区市场监督管理局</w:t>
            </w:r>
          </w:p>
        </w:tc>
        <w:tc>
          <w:tcPr>
            <w:tcW w:w="3750" w:type="dxa"/>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eastAsia="宋体" w:cs="Calibri"/>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4" w:hRule="atLeast"/>
          <w:jc w:val="center"/>
        </w:trPr>
        <w:tc>
          <w:tcPr>
            <w:tcW w:w="900" w:type="dxa"/>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宋体" w:cs="Times New Roman"/>
                <w:sz w:val="24"/>
                <w:szCs w:val="24"/>
              </w:rPr>
              <w:t>19</w:t>
            </w:r>
          </w:p>
        </w:tc>
        <w:tc>
          <w:tcPr>
            <w:tcW w:w="2063" w:type="dxa"/>
            <w:tcBorders>
              <w:top w:val="nil"/>
              <w:left w:val="nil"/>
              <w:bottom w:val="single" w:color="000000" w:sz="8" w:space="0"/>
              <w:right w:val="single" w:color="000000" w:sz="8" w:space="0"/>
            </w:tcBorders>
            <w:shd w:val="clear" w:color="auto" w:fill="auto"/>
            <w:noWrap/>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促进市场竞争</w:t>
            </w:r>
          </w:p>
        </w:tc>
        <w:tc>
          <w:tcPr>
            <w:tcW w:w="3007" w:type="dxa"/>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自治区市场监督管理局、自治区商务厅、自治区发展和改革委员会</w:t>
            </w:r>
          </w:p>
        </w:tc>
        <w:tc>
          <w:tcPr>
            <w:tcW w:w="3750" w:type="dxa"/>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eastAsia="宋体" w:cs="Calibri"/>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4" w:hRule="atLeast"/>
          <w:jc w:val="center"/>
        </w:trPr>
        <w:tc>
          <w:tcPr>
            <w:tcW w:w="900" w:type="dxa"/>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eastAsia="宋体" w:cs="Times New Roman"/>
                <w:sz w:val="24"/>
                <w:szCs w:val="24"/>
              </w:rPr>
              <w:t>20</w:t>
            </w:r>
          </w:p>
        </w:tc>
        <w:tc>
          <w:tcPr>
            <w:tcW w:w="2063" w:type="dxa"/>
            <w:tcBorders>
              <w:top w:val="nil"/>
              <w:left w:val="nil"/>
              <w:bottom w:val="single" w:color="000000" w:sz="8" w:space="0"/>
              <w:right w:val="single" w:color="000000" w:sz="8" w:space="0"/>
            </w:tcBorders>
            <w:shd w:val="clear" w:color="auto" w:fill="auto"/>
            <w:noWrap/>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办理破产</w:t>
            </w:r>
          </w:p>
        </w:tc>
        <w:tc>
          <w:tcPr>
            <w:tcW w:w="3007" w:type="dxa"/>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自治区市场监督管理局</w:t>
            </w:r>
          </w:p>
        </w:tc>
        <w:tc>
          <w:tcPr>
            <w:tcW w:w="3750" w:type="dxa"/>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4"/>
                <w:szCs w:val="24"/>
              </w:rPr>
              <w:t>新疆税务局、自治区地方金融管理局、自治区高级人民法院、自治区人力资源和社会保障厅</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72" w:lineRule="atLeast"/>
        <w:ind w:left="0" w:right="0" w:firstLine="0"/>
        <w:jc w:val="both"/>
        <w:rPr>
          <w:rFonts w:hint="default" w:ascii="Calibri" w:hAnsi="Calibri" w:cs="Calibri"/>
          <w:i w:val="0"/>
          <w:iCs w:val="0"/>
          <w:caps w:val="0"/>
          <w:color w:val="000000"/>
          <w:spacing w:val="0"/>
          <w:sz w:val="21"/>
          <w:szCs w:val="21"/>
        </w:rPr>
      </w:pPr>
      <w:r>
        <w:rPr>
          <w:rFonts w:hint="default" w:ascii="Calibri" w:hAnsi="Calibri" w:cs="Calibri"/>
          <w:i w:val="0"/>
          <w:iCs w:val="0"/>
          <w:caps w:val="0"/>
          <w:color w:val="000000"/>
          <w:spacing w:val="0"/>
          <w:sz w:val="21"/>
          <w:szCs w:val="21"/>
          <w:shd w:val="clear" w:fill="FFFFFF"/>
        </w:rPr>
        <w:t> </w:t>
      </w:r>
    </w:p>
    <w:p/>
    <w:sectPr>
      <w:pgSz w:w="11906" w:h="16838"/>
      <w:pgMar w:top="1440" w:right="1576" w:bottom="1440"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2000000000000000000"/>
    <w:charset w:val="86"/>
    <w:family w:val="auto"/>
    <w:pitch w:val="default"/>
    <w:sig w:usb0="A00002BF" w:usb1="38CF7CFA" w:usb2="00082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楷体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A15227"/>
    <w:rsid w:val="10C22779"/>
    <w:rsid w:val="13B66326"/>
    <w:rsid w:val="3D1A111E"/>
    <w:rsid w:val="663A4D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0</Words>
  <Characters>0</Characters>
  <Lines>0</Lines>
  <Paragraphs>0</Paragraphs>
  <TotalTime>5</TotalTime>
  <ScaleCrop>false</ScaleCrop>
  <LinksUpToDate>false</LinksUpToDate>
  <CharactersWithSpaces>0</CharactersWithSpaces>
  <Application>WPS Office_12.8.2.15286_F1E327BC-269C-435d-A152-05C5408002CA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2024-07-25T01:50:00Z</dcterms:created>
  <dc:creator>szf</dc:creator>
  <cp:lastModifiedBy>ZCB</cp:lastModifiedBy>
  <dcterms:modified xsi:type="dcterms:W3CDTF">2024-07-25T08:59:07Z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2052-12.8.2.15286</vt:lpwstr>
  </property>
  <property fmtid="{D5CDD505-2E9C-101B-9397-08002B2CF9AE}" pid="3" name="ICV">
    <vt:lpwstr>EB8656DD6EDA4CE7B0F6745D7721ADA4_12</vt:lpwstr>
  </property>
</Properties>
</file>